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Times New Roman" w:hAnsi="Times New Roman" w:eastAsia="方正小标宋_GBK" w:cs="Times New Roman"/>
          <w:b w:val="0"/>
          <w:bCs/>
          <w:i w:val="0"/>
          <w:caps w:val="0"/>
          <w:color w:val="333333"/>
          <w:spacing w:val="0"/>
          <w:sz w:val="44"/>
          <w:szCs w:val="44"/>
          <w:shd w:val="clear" w:color="auto" w:fill="FFFFFF"/>
          <w:lang w:eastAsia="zh-CN"/>
        </w:rPr>
      </w:pPr>
      <w:r>
        <w:rPr>
          <w:rFonts w:hint="default" w:ascii="Times New Roman" w:hAnsi="Times New Roman" w:eastAsia="方正小标宋_GBK" w:cs="Times New Roman"/>
          <w:b w:val="0"/>
          <w:bCs/>
          <w:i w:val="0"/>
          <w:caps w:val="0"/>
          <w:color w:val="333333"/>
          <w:spacing w:val="0"/>
          <w:sz w:val="44"/>
          <w:szCs w:val="44"/>
          <w:shd w:val="clear" w:color="auto" w:fill="FFFFFF"/>
          <w:lang w:eastAsia="zh-CN"/>
        </w:rPr>
        <w:t>宿城区人民政府办公室</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Times New Roman" w:hAnsi="Times New Roman" w:eastAsia="方正小标宋_GBK" w:cs="Times New Roman"/>
          <w:b w:val="0"/>
          <w:bCs/>
          <w:i w:val="0"/>
          <w:caps w:val="0"/>
          <w:color w:val="333333"/>
          <w:spacing w:val="0"/>
          <w:sz w:val="44"/>
          <w:szCs w:val="44"/>
        </w:rPr>
      </w:pPr>
      <w:r>
        <w:rPr>
          <w:rFonts w:hint="default" w:ascii="Times New Roman" w:hAnsi="Times New Roman" w:eastAsia="方正小标宋_GBK" w:cs="Times New Roman"/>
          <w:b w:val="0"/>
          <w:bCs/>
          <w:i w:val="0"/>
          <w:caps w:val="0"/>
          <w:color w:val="333333"/>
          <w:spacing w:val="0"/>
          <w:sz w:val="44"/>
          <w:szCs w:val="44"/>
          <w:shd w:val="clear" w:color="auto" w:fill="FFFFFF"/>
          <w:lang w:eastAsia="zh-CN"/>
        </w:rPr>
        <w:t>20</w:t>
      </w:r>
      <w:r>
        <w:rPr>
          <w:rFonts w:hint="default" w:ascii="Times New Roman" w:hAnsi="Times New Roman" w:eastAsia="方正小标宋_GBK" w:cs="Times New Roman"/>
          <w:b w:val="0"/>
          <w:bCs/>
          <w:i w:val="0"/>
          <w:caps w:val="0"/>
          <w:color w:val="333333"/>
          <w:spacing w:val="0"/>
          <w:sz w:val="44"/>
          <w:szCs w:val="44"/>
          <w:shd w:val="clear" w:color="auto" w:fill="FFFFFF"/>
          <w:lang w:val="en-US" w:eastAsia="zh-CN"/>
        </w:rPr>
        <w:t>2</w:t>
      </w:r>
      <w:r>
        <w:rPr>
          <w:rFonts w:hint="eastAsia" w:ascii="Times New Roman" w:hAnsi="Times New Roman" w:eastAsia="方正小标宋_GBK" w:cs="Times New Roman"/>
          <w:b w:val="0"/>
          <w:bCs/>
          <w:i w:val="0"/>
          <w:caps w:val="0"/>
          <w:color w:val="333333"/>
          <w:spacing w:val="0"/>
          <w:sz w:val="44"/>
          <w:szCs w:val="44"/>
          <w:shd w:val="clear" w:color="auto" w:fill="FFFFFF"/>
          <w:lang w:val="en-US" w:eastAsia="zh-CN"/>
        </w:rPr>
        <w:t>4</w:t>
      </w:r>
      <w:r>
        <w:rPr>
          <w:rFonts w:hint="default" w:ascii="Times New Roman" w:hAnsi="Times New Roman" w:eastAsia="方正小标宋_GBK" w:cs="Times New Roman"/>
          <w:b w:val="0"/>
          <w:bCs/>
          <w:i w:val="0"/>
          <w:caps w:val="0"/>
          <w:color w:val="333333"/>
          <w:spacing w:val="0"/>
          <w:sz w:val="44"/>
          <w:szCs w:val="44"/>
          <w:shd w:val="clear" w:color="auto" w:fill="FFFFFF"/>
          <w:lang w:eastAsia="zh-CN"/>
        </w:rPr>
        <w:t>年政府信息公开工作年度报告</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default" w:ascii="Times New Roman" w:hAnsi="Times New Roman" w:eastAsia="宋体" w:cs="Times New Roman"/>
          <w:b w:val="0"/>
          <w:bCs/>
          <w:i w:val="0"/>
          <w:caps w:val="0"/>
          <w:color w:val="333333"/>
          <w:spacing w:val="0"/>
          <w:sz w:val="24"/>
          <w:szCs w:val="24"/>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根</w:t>
      </w:r>
      <w:r>
        <w:rPr>
          <w:rFonts w:hint="default" w:ascii="Times New Roman" w:hAnsi="Times New Roman" w:eastAsia="仿宋_GB2312" w:cs="Times New Roman"/>
          <w:sz w:val="32"/>
          <w:szCs w:val="32"/>
        </w:rPr>
        <w:t>据《中华人民共和国政府信息公开条例》（以下简称《条例》）以及国务院和省、市相关文件规定，现公布宿迁市宿城区人民政府办公室20</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年政府信息公开工作年度报告。本年报所列数据的统计期限自20</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年1月1日起至20</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年12月31日止。如对年报有任何疑问，请与宿城区</w:t>
      </w:r>
      <w:r>
        <w:rPr>
          <w:rFonts w:hint="default" w:ascii="Times New Roman" w:hAnsi="Times New Roman" w:eastAsia="仿宋_GB2312" w:cs="Times New Roman"/>
          <w:sz w:val="32"/>
          <w:szCs w:val="32"/>
          <w:lang w:eastAsia="zh-CN"/>
        </w:rPr>
        <w:t>人民</w:t>
      </w:r>
      <w:r>
        <w:rPr>
          <w:rFonts w:hint="default" w:ascii="Times New Roman" w:hAnsi="Times New Roman" w:eastAsia="仿宋_GB2312" w:cs="Times New Roman"/>
          <w:sz w:val="32"/>
          <w:szCs w:val="32"/>
        </w:rPr>
        <w:t>政府办公室</w:t>
      </w:r>
      <w:r>
        <w:rPr>
          <w:rFonts w:hint="default" w:ascii="Times New Roman" w:hAnsi="Times New Roman" w:eastAsia="仿宋_GB2312" w:cs="Times New Roman"/>
          <w:sz w:val="32"/>
          <w:szCs w:val="32"/>
          <w:lang w:eastAsia="zh-CN"/>
        </w:rPr>
        <w:t>政务公开</w:t>
      </w:r>
      <w:r>
        <w:rPr>
          <w:rFonts w:hint="default" w:ascii="Times New Roman" w:hAnsi="Times New Roman" w:eastAsia="仿宋_GB2312" w:cs="Times New Roman"/>
          <w:sz w:val="32"/>
          <w:szCs w:val="32"/>
        </w:rPr>
        <w:t>科联系（地址：宿迁市宿城区成子湖路</w:t>
      </w:r>
      <w:r>
        <w:rPr>
          <w:rFonts w:hint="default" w:ascii="Times New Roman" w:hAnsi="Times New Roman" w:eastAsia="仿宋_GB2312" w:cs="Times New Roman"/>
          <w:sz w:val="32"/>
          <w:szCs w:val="32"/>
          <w:lang w:eastAsia="zh-CN"/>
        </w:rPr>
        <w:t>6</w:t>
      </w:r>
      <w:r>
        <w:rPr>
          <w:rFonts w:hint="default" w:ascii="Times New Roman" w:hAnsi="Times New Roman" w:eastAsia="仿宋_GB2312" w:cs="Times New Roman"/>
          <w:sz w:val="32"/>
          <w:szCs w:val="32"/>
        </w:rPr>
        <w:t>号，邮编：223800 ，电话：0527</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82960096，电子邮箱：scqxxgk@163.com）。</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default" w:ascii="Times New Roman" w:hAnsi="Times New Roman" w:eastAsia="黑体" w:cs="Times New Roman"/>
          <w:b w:val="0"/>
          <w:bCs/>
          <w:i w:val="0"/>
          <w:caps w:val="0"/>
          <w:color w:val="000000"/>
          <w:spacing w:val="0"/>
          <w:sz w:val="32"/>
          <w:szCs w:val="32"/>
        </w:rPr>
      </w:pPr>
      <w:r>
        <w:rPr>
          <w:rFonts w:hint="default" w:ascii="Times New Roman" w:hAnsi="Times New Roman" w:eastAsia="黑体" w:cs="Times New Roman"/>
          <w:b w:val="0"/>
          <w:bCs/>
          <w:i w:val="0"/>
          <w:caps w:val="0"/>
          <w:color w:val="000000"/>
          <w:spacing w:val="0"/>
          <w:sz w:val="32"/>
          <w:szCs w:val="32"/>
          <w:shd w:val="clear" w:color="auto" w:fill="FFFFFF"/>
        </w:rPr>
        <w:t>一、总体情况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202</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宿城区</w:t>
      </w:r>
      <w:r>
        <w:rPr>
          <w:rFonts w:hint="eastAsia" w:ascii="Times New Roman" w:hAnsi="Times New Roman" w:eastAsia="仿宋_GB2312" w:cs="Times New Roman"/>
          <w:color w:val="auto"/>
          <w:sz w:val="32"/>
          <w:szCs w:val="32"/>
          <w:lang w:val="en-US" w:eastAsia="zh-CN"/>
        </w:rPr>
        <w:t>人民政府办公室认真贯彻落实</w:t>
      </w:r>
      <w:r>
        <w:rPr>
          <w:rFonts w:hint="default" w:ascii="Times New Roman" w:hAnsi="Times New Roman" w:eastAsia="仿宋_GB2312" w:cs="Times New Roman"/>
          <w:color w:val="auto"/>
          <w:sz w:val="32"/>
          <w:szCs w:val="32"/>
        </w:rPr>
        <w:t>《中华人民共和国政府信息公开条例》</w:t>
      </w:r>
      <w:r>
        <w:rPr>
          <w:rFonts w:hint="eastAsia" w:ascii="Times New Roman" w:hAnsi="Times New Roman" w:eastAsia="仿宋_GB2312" w:cs="Times New Roman"/>
          <w:color w:val="auto"/>
          <w:sz w:val="32"/>
          <w:szCs w:val="32"/>
          <w:lang w:val="en-US" w:eastAsia="zh-CN"/>
        </w:rPr>
        <w:t>及</w:t>
      </w:r>
      <w:r>
        <w:rPr>
          <w:rFonts w:hint="default" w:ascii="Times New Roman" w:hAnsi="Times New Roman" w:eastAsia="仿宋_GB2312" w:cs="Times New Roman"/>
          <w:color w:val="auto"/>
          <w:sz w:val="32"/>
          <w:szCs w:val="32"/>
        </w:rPr>
        <w:t>国务院和省、市</w:t>
      </w:r>
      <w:r>
        <w:rPr>
          <w:rFonts w:hint="eastAsia" w:ascii="Times New Roman" w:hAnsi="Times New Roman" w:eastAsia="仿宋_GB2312" w:cs="Times New Roman"/>
          <w:color w:val="auto"/>
          <w:sz w:val="32"/>
          <w:szCs w:val="32"/>
          <w:lang w:val="en-US" w:eastAsia="zh-CN"/>
        </w:rPr>
        <w:t>有关</w:t>
      </w:r>
      <w:r>
        <w:rPr>
          <w:rFonts w:hint="default" w:ascii="Times New Roman" w:hAnsi="Times New Roman" w:eastAsia="仿宋_GB2312" w:cs="Times New Roman"/>
          <w:color w:val="auto"/>
          <w:sz w:val="32"/>
          <w:szCs w:val="32"/>
        </w:rPr>
        <w:t>政府信息公开工作要求，</w:t>
      </w:r>
      <w:r>
        <w:rPr>
          <w:rFonts w:hint="default" w:ascii="Times New Roman" w:hAnsi="Times New Roman" w:eastAsia="仿宋_GB2312" w:cs="Times New Roman"/>
          <w:color w:val="auto"/>
          <w:sz w:val="32"/>
          <w:szCs w:val="32"/>
          <w:lang w:eastAsia="zh-CN"/>
        </w:rPr>
        <w:t>紧紧围绕区委、区政府中心工作和群众期盼，坚持“以公开为常态、不公开为例外”原则，不断拓展公开内容，创新公开形式，完善公开制度，强化公开监督，不断提升政务公开标准化、规范化水平。</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（一）</w:t>
      </w:r>
      <w:r>
        <w:rPr>
          <w:rFonts w:hint="eastAsia" w:ascii="Times New Roman" w:hAnsi="Times New Roman" w:eastAsia="楷体_GB2312" w:cs="Times New Roman"/>
          <w:b w:val="0"/>
          <w:bCs/>
          <w:i w:val="0"/>
          <w:caps w:val="0"/>
          <w:color w:val="000000"/>
          <w:spacing w:val="0"/>
          <w:sz w:val="32"/>
          <w:szCs w:val="32"/>
          <w:shd w:val="clear" w:color="auto" w:fill="FFFFFF"/>
          <w:lang w:val="en-US" w:eastAsia="zh-CN"/>
        </w:rPr>
        <w:t>主动公开</w:t>
      </w:r>
      <w:r>
        <w:rPr>
          <w:rFonts w:hint="default" w:ascii="Times New Roman" w:hAnsi="Times New Roman" w:eastAsia="楷体_GB2312" w:cs="Times New Roman"/>
          <w:b w:val="0"/>
          <w:bCs/>
          <w:i w:val="0"/>
          <w:caps w:val="0"/>
          <w:color w:val="000000"/>
          <w:spacing w:val="0"/>
          <w:sz w:val="32"/>
          <w:szCs w:val="32"/>
          <w:shd w:val="clear" w:color="auto" w:fill="FFFFFF"/>
          <w:lang w:val="en-US" w:eastAsia="zh-CN"/>
        </w:rPr>
        <w:t>。</w:t>
      </w:r>
      <w:r>
        <w:rPr>
          <w:rFonts w:hint="default" w:ascii="Times New Roman" w:hAnsi="Times New Roman" w:eastAsia="仿宋_GB2312" w:cs="Times New Roman"/>
          <w:color w:val="auto"/>
          <w:sz w:val="32"/>
          <w:szCs w:val="32"/>
          <w:lang w:eastAsia="zh-CN"/>
        </w:rPr>
        <w:t>20</w:t>
      </w:r>
      <w:r>
        <w:rPr>
          <w:rFonts w:hint="default" w:ascii="Times New Roman" w:hAnsi="Times New Roman" w:eastAsia="仿宋_GB2312" w:cs="Times New Roman"/>
          <w:color w:val="auto"/>
          <w:sz w:val="32"/>
          <w:szCs w:val="32"/>
          <w:lang w:val="en-US" w:eastAsia="zh-CN"/>
        </w:rPr>
        <w:t>2</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eastAsia="zh-CN"/>
        </w:rPr>
        <w:t>年</w:t>
      </w:r>
      <w:r>
        <w:rPr>
          <w:rFonts w:hint="eastAsia" w:ascii="Times New Roman" w:hAnsi="Times New Roman" w:eastAsia="仿宋_GB2312" w:cs="Times New Roman"/>
          <w:color w:val="auto"/>
          <w:sz w:val="32"/>
          <w:szCs w:val="32"/>
          <w:lang w:val="en-US" w:eastAsia="zh-CN"/>
        </w:rPr>
        <w:t>通过宿城区人民政府门户网站主动公开区政府及区政府办公室文件公开发布文件29件，其中政策文件15件，同步发布文字类、图片类政策解读15条，实现政策文件解读率100%，政策解读关联率100%。按期主动公开区政府办公室计划总结、人事、机构、财政类信息12条。做好重点领域信息公开的指导和督促工作，发布政府常务会议信息6条，征地公告与安置方案、政府采购等政府信息879条，公务员招录、事业单位招聘等信息12条，新闻发布会信息2条。督促指导各镇街、区直部门结合最新的权责清单、法律法规与机构职能，不断完善和优化公开内容，全面完成《政府信息主动公开标准目录清单》《基层政务公开标准目录清单》《面向村（居）政务公开标准目录清单》等3张清单的修订工作，确保公开内容的准确性、及时性。</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b w:val="0"/>
          <w:bCs/>
          <w:i w:val="0"/>
          <w:caps w:val="0"/>
          <w:color w:val="000000"/>
          <w:spacing w:val="0"/>
          <w:sz w:val="32"/>
          <w:szCs w:val="32"/>
          <w:shd w:val="clear" w:color="auto" w:fill="FFFFFF"/>
          <w:lang w:eastAsia="zh-CN"/>
        </w:rPr>
        <w:t>（</w:t>
      </w:r>
      <w:r>
        <w:rPr>
          <w:rFonts w:hint="default" w:ascii="Times New Roman" w:hAnsi="Times New Roman" w:eastAsia="楷体_GB2312" w:cs="Times New Roman"/>
          <w:b w:val="0"/>
          <w:bCs/>
          <w:i w:val="0"/>
          <w:caps w:val="0"/>
          <w:color w:val="000000"/>
          <w:spacing w:val="0"/>
          <w:sz w:val="32"/>
          <w:szCs w:val="32"/>
          <w:shd w:val="clear" w:color="auto" w:fill="FFFFFF"/>
          <w:lang w:val="en-US" w:eastAsia="zh-CN"/>
        </w:rPr>
        <w:t>二</w:t>
      </w:r>
      <w:r>
        <w:rPr>
          <w:rFonts w:hint="default" w:ascii="Times New Roman" w:hAnsi="Times New Roman" w:eastAsia="楷体_GB2312" w:cs="Times New Roman"/>
          <w:b w:val="0"/>
          <w:bCs/>
          <w:i w:val="0"/>
          <w:caps w:val="0"/>
          <w:color w:val="000000"/>
          <w:spacing w:val="0"/>
          <w:sz w:val="32"/>
          <w:szCs w:val="32"/>
          <w:shd w:val="clear" w:color="auto" w:fill="FFFFFF"/>
          <w:lang w:eastAsia="zh-CN"/>
        </w:rPr>
        <w:t>）</w:t>
      </w:r>
      <w:r>
        <w:rPr>
          <w:rFonts w:hint="eastAsia" w:ascii="Times New Roman" w:hAnsi="Times New Roman" w:eastAsia="楷体_GB2312" w:cs="Times New Roman"/>
          <w:b w:val="0"/>
          <w:bCs/>
          <w:i w:val="0"/>
          <w:caps w:val="0"/>
          <w:color w:val="000000"/>
          <w:spacing w:val="0"/>
          <w:sz w:val="32"/>
          <w:szCs w:val="32"/>
          <w:shd w:val="clear" w:color="auto" w:fill="FFFFFF"/>
          <w:lang w:val="en-US" w:eastAsia="zh-CN"/>
        </w:rPr>
        <w:t>依申请公开</w:t>
      </w:r>
      <w:r>
        <w:rPr>
          <w:rFonts w:hint="default" w:ascii="Times New Roman" w:hAnsi="Times New Roman" w:eastAsia="楷体_GB2312" w:cs="Times New Roman"/>
          <w:b w:val="0"/>
          <w:bCs/>
          <w:i w:val="0"/>
          <w:caps w:val="0"/>
          <w:color w:val="000000"/>
          <w:spacing w:val="0"/>
          <w:sz w:val="32"/>
          <w:szCs w:val="32"/>
          <w:shd w:val="clear" w:color="auto" w:fill="FFFFFF"/>
          <w:lang w:eastAsia="zh-CN"/>
        </w:rPr>
        <w:t>。</w:t>
      </w:r>
      <w:r>
        <w:rPr>
          <w:rFonts w:hint="default" w:ascii="Times New Roman" w:hAnsi="Times New Roman" w:eastAsia="仿宋_GB2312" w:cs="Times New Roman"/>
          <w:color w:val="auto"/>
          <w:sz w:val="32"/>
          <w:szCs w:val="32"/>
          <w:lang w:val="en-US" w:eastAsia="zh-CN"/>
        </w:rPr>
        <w:t>2024年，区政府办和区政府共收到和办理政府信息公开申请48件（含2023年结转4件），其中当面申请1件，政府网站依申请公开平台申请19件，邮件申请 28件。申请公开的政府信息中23件属于征收补偿和土地增减挂钩领域，占比为47.92%，其中8件属于小区验收监管或物业管理领域，占比16.67%，其他领域17件。其中予以公开6件，部分公开19件，本机关不掌握相关政府信息15件，信访举报投诉类申请1件，申请人无正当理由逾期不补正1件，其他类6件，无转接下年度继续办理件。</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default" w:ascii="Times New Roman" w:hAnsi="Times New Roman" w:eastAsia="楷体_GB2312" w:cs="Times New Roman"/>
          <w:b w:val="0"/>
          <w:bCs/>
          <w:i w:val="0"/>
          <w:caps w:val="0"/>
          <w:color w:val="FF0000"/>
          <w:spacing w:val="0"/>
          <w:sz w:val="32"/>
          <w:szCs w:val="32"/>
          <w:shd w:val="clear" w:color="auto" w:fill="FFFFFF"/>
          <w:lang w:val="en-US" w:eastAsia="zh-CN"/>
        </w:rPr>
      </w:pPr>
      <w:r>
        <w:rPr>
          <w:rFonts w:hint="default" w:ascii="Times New Roman" w:hAnsi="Times New Roman" w:eastAsia="楷体_GB2312" w:cs="Times New Roman"/>
          <w:b w:val="0"/>
          <w:bCs/>
          <w:i w:val="0"/>
          <w:caps w:val="0"/>
          <w:color w:val="000000"/>
          <w:spacing w:val="0"/>
          <w:sz w:val="32"/>
          <w:szCs w:val="32"/>
          <w:shd w:val="clear" w:color="auto" w:fill="FFFFFF"/>
          <w:lang w:eastAsia="zh-CN"/>
        </w:rPr>
        <w:t>（三）</w:t>
      </w:r>
      <w:r>
        <w:rPr>
          <w:rFonts w:hint="eastAsia" w:ascii="Times New Roman" w:hAnsi="Times New Roman" w:eastAsia="楷体_GB2312" w:cs="Times New Roman"/>
          <w:b w:val="0"/>
          <w:bCs/>
          <w:i w:val="0"/>
          <w:caps w:val="0"/>
          <w:color w:val="000000"/>
          <w:spacing w:val="0"/>
          <w:sz w:val="32"/>
          <w:szCs w:val="32"/>
          <w:shd w:val="clear" w:color="auto" w:fill="FFFFFF"/>
          <w:lang w:val="en-US" w:eastAsia="zh-CN"/>
        </w:rPr>
        <w:t>政府信息管理</w:t>
      </w:r>
      <w:r>
        <w:rPr>
          <w:rFonts w:hint="default" w:ascii="Times New Roman" w:hAnsi="Times New Roman" w:eastAsia="楷体_GB2312" w:cs="Times New Roman"/>
          <w:b w:val="0"/>
          <w:bCs/>
          <w:i w:val="0"/>
          <w:caps w:val="0"/>
          <w:color w:val="000000"/>
          <w:spacing w:val="0"/>
          <w:sz w:val="32"/>
          <w:szCs w:val="32"/>
          <w:shd w:val="clear" w:color="auto" w:fill="FFFFFF"/>
          <w:lang w:eastAsia="zh-CN"/>
        </w:rPr>
        <w:t>。</w:t>
      </w:r>
      <w:r>
        <w:rPr>
          <w:rFonts w:hint="default" w:ascii="Times New Roman" w:hAnsi="Times New Roman" w:eastAsia="仿宋_GB2312" w:cs="Times New Roman"/>
          <w:sz w:val="32"/>
          <w:szCs w:val="32"/>
          <w:lang w:val="en-US" w:eastAsia="zh-CN"/>
        </w:rPr>
        <w:t>严格执行发布信息审核“三审三校”工作要求</w:t>
      </w:r>
      <w:r>
        <w:rPr>
          <w:rFonts w:hint="eastAsia" w:ascii="Times New Roman" w:hAnsi="Times New Roman" w:eastAsia="仿宋_GB2312" w:cs="Times New Roman"/>
          <w:sz w:val="32"/>
          <w:szCs w:val="32"/>
          <w:lang w:val="en-US" w:eastAsia="zh-CN"/>
        </w:rPr>
        <w:t>，切实遵守</w:t>
      </w:r>
      <w:r>
        <w:rPr>
          <w:rFonts w:hint="default" w:ascii="Times New Roman" w:hAnsi="Times New Roman" w:eastAsia="仿宋_GB2312" w:cs="Times New Roman"/>
          <w:sz w:val="32"/>
          <w:szCs w:val="32"/>
          <w:lang w:val="en-US" w:eastAsia="zh-CN"/>
        </w:rPr>
        <w:t>“分级审核、先审后发”程序，落实公文公开属性认定要求，切实把政府信息公开属性源头认定、流程界定机制落到实处，全年审核公文</w:t>
      </w:r>
      <w:r>
        <w:rPr>
          <w:rFonts w:hint="eastAsia" w:ascii="Times New Roman" w:hAnsi="Times New Roman" w:eastAsia="仿宋_GB2312" w:cs="Times New Roman"/>
          <w:sz w:val="32"/>
          <w:szCs w:val="32"/>
          <w:lang w:val="en-US" w:eastAsia="zh-CN"/>
        </w:rPr>
        <w:t>72件</w:t>
      </w:r>
      <w:r>
        <w:rPr>
          <w:rFonts w:hint="default" w:ascii="Times New Roman" w:hAnsi="Times New Roman" w:eastAsia="仿宋_GB2312" w:cs="Times New Roman"/>
          <w:sz w:val="32"/>
          <w:szCs w:val="32"/>
          <w:lang w:val="en-US" w:eastAsia="zh-CN"/>
        </w:rPr>
        <w:t>。及时公布现行有效规范性文件目录和清理结果，并做好文件有效性标注。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jc w:val="both"/>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楷体_GB2312" w:cs="Times New Roman"/>
          <w:b w:val="0"/>
          <w:bCs/>
          <w:i w:val="0"/>
          <w:caps w:val="0"/>
          <w:color w:val="000000"/>
          <w:spacing w:val="0"/>
          <w:sz w:val="32"/>
          <w:szCs w:val="32"/>
          <w:shd w:val="clear" w:color="auto" w:fill="FFFFFF"/>
          <w:lang w:eastAsia="zh-CN"/>
        </w:rPr>
        <w:t>（四）</w:t>
      </w:r>
      <w:r>
        <w:rPr>
          <w:rFonts w:hint="eastAsia" w:ascii="Times New Roman" w:hAnsi="Times New Roman" w:eastAsia="楷体_GB2312" w:cs="Times New Roman"/>
          <w:b w:val="0"/>
          <w:bCs/>
          <w:i w:val="0"/>
          <w:caps w:val="0"/>
          <w:color w:val="000000"/>
          <w:spacing w:val="0"/>
          <w:sz w:val="32"/>
          <w:szCs w:val="32"/>
          <w:shd w:val="clear" w:color="auto" w:fill="FFFFFF"/>
          <w:lang w:val="en-US" w:eastAsia="zh-CN"/>
        </w:rPr>
        <w:t>政府信息公开平台建设</w:t>
      </w:r>
      <w:r>
        <w:rPr>
          <w:rFonts w:hint="default" w:ascii="Times New Roman" w:hAnsi="Times New Roman" w:eastAsia="楷体_GB2312" w:cs="Times New Roman"/>
          <w:b w:val="0"/>
          <w:bCs/>
          <w:i w:val="0"/>
          <w:caps w:val="0"/>
          <w:color w:val="000000"/>
          <w:spacing w:val="0"/>
          <w:sz w:val="32"/>
          <w:szCs w:val="32"/>
          <w:shd w:val="clear" w:color="auto" w:fill="FFFFFF"/>
          <w:lang w:eastAsia="zh-CN"/>
        </w:rPr>
        <w:t>。</w:t>
      </w:r>
      <w:r>
        <w:rPr>
          <w:rFonts w:hint="default" w:ascii="Times New Roman" w:hAnsi="Times New Roman" w:eastAsia="仿宋_GB2312" w:cs="Times New Roman"/>
          <w:kern w:val="0"/>
          <w:sz w:val="32"/>
          <w:szCs w:val="32"/>
          <w:lang w:val="en-US" w:eastAsia="zh-CN" w:bidi="ar"/>
        </w:rPr>
        <w:t>积极贯彻落实市政府办《关于进一步做好公共企事业单位信息公开工作的通知》要求，高标准打造公共企事业单位信息公开集中发布平台，推动教育、卫生健康、供水、供电、供气、环境保护、公共交通</w:t>
      </w:r>
      <w:r>
        <w:rPr>
          <w:rFonts w:hint="eastAsia" w:ascii="Times New Roman" w:hAnsi="Times New Roman" w:eastAsia="仿宋_GB2312" w:cs="Times New Roman"/>
          <w:kern w:val="0"/>
          <w:sz w:val="32"/>
          <w:szCs w:val="32"/>
          <w:lang w:val="en-US" w:eastAsia="zh-CN" w:bidi="ar"/>
        </w:rPr>
        <w:t>、文化</w:t>
      </w:r>
      <w:r>
        <w:rPr>
          <w:rFonts w:hint="default" w:ascii="Times New Roman" w:hAnsi="Times New Roman" w:eastAsia="仿宋_GB2312" w:cs="Times New Roman"/>
          <w:kern w:val="0"/>
          <w:sz w:val="32"/>
          <w:szCs w:val="32"/>
          <w:lang w:val="en-US" w:eastAsia="zh-CN" w:bidi="ar"/>
        </w:rPr>
        <w:t>等7大重点领域公共企事业单位信息公开，指导各领域主管部门全面梳理企事业单位名录，从严从细整理主动公开事项清单，不断弥补信息公开短板弱项，维护公众切身利益。</w:t>
      </w:r>
      <w:r>
        <w:rPr>
          <w:rFonts w:hint="eastAsia" w:ascii="Times New Roman" w:hAnsi="Times New Roman" w:eastAsia="仿宋_GB2312" w:cs="Times New Roman"/>
          <w:kern w:val="0"/>
          <w:sz w:val="32"/>
          <w:szCs w:val="32"/>
          <w:lang w:val="en-US" w:eastAsia="zh-CN" w:bidi="ar"/>
        </w:rPr>
        <w:t>目前</w:t>
      </w:r>
      <w:r>
        <w:rPr>
          <w:rFonts w:hint="default" w:ascii="Times New Roman" w:hAnsi="Times New Roman" w:eastAsia="仿宋_GB2312" w:cs="Times New Roman"/>
          <w:kern w:val="0"/>
          <w:sz w:val="32"/>
          <w:szCs w:val="32"/>
          <w:lang w:val="en-US" w:eastAsia="zh-CN" w:bidi="ar"/>
        </w:rPr>
        <w:t>已完成</w:t>
      </w:r>
      <w:r>
        <w:rPr>
          <w:rFonts w:hint="eastAsia" w:ascii="Times New Roman" w:hAnsi="Times New Roman" w:eastAsia="仿宋_GB2312" w:cs="Times New Roman"/>
          <w:kern w:val="0"/>
          <w:sz w:val="32"/>
          <w:szCs w:val="32"/>
          <w:lang w:val="en-US" w:eastAsia="zh-CN" w:bidi="ar"/>
        </w:rPr>
        <w:t>8</w:t>
      </w:r>
      <w:r>
        <w:rPr>
          <w:rFonts w:hint="default" w:ascii="Times New Roman" w:hAnsi="Times New Roman" w:eastAsia="仿宋_GB2312" w:cs="Times New Roman"/>
          <w:kern w:val="0"/>
          <w:sz w:val="32"/>
          <w:szCs w:val="32"/>
          <w:lang w:val="en-US" w:eastAsia="zh-CN" w:bidi="ar"/>
        </w:rPr>
        <w:t>大领域6</w:t>
      </w:r>
      <w:r>
        <w:rPr>
          <w:rFonts w:hint="eastAsia" w:ascii="Times New Roman" w:hAnsi="Times New Roman" w:eastAsia="仿宋_GB2312" w:cs="Times New Roman"/>
          <w:kern w:val="0"/>
          <w:sz w:val="32"/>
          <w:szCs w:val="32"/>
          <w:lang w:val="en-US" w:eastAsia="zh-CN" w:bidi="ar"/>
        </w:rPr>
        <w:t>3</w:t>
      </w:r>
      <w:r>
        <w:rPr>
          <w:rFonts w:hint="default" w:ascii="Times New Roman" w:hAnsi="Times New Roman" w:eastAsia="仿宋_GB2312" w:cs="Times New Roman"/>
          <w:kern w:val="0"/>
          <w:sz w:val="32"/>
          <w:szCs w:val="32"/>
          <w:lang w:val="en-US" w:eastAsia="zh-CN" w:bidi="ar"/>
        </w:rPr>
        <w:t>家单位栏目建设工作，相关信息发布工作同步开展中。针对群众获取历史性村务信息难、村务信息保管不规范等问题，在</w:t>
      </w:r>
      <w:r>
        <w:rPr>
          <w:rFonts w:hint="eastAsia" w:ascii="Times New Roman" w:hAnsi="Times New Roman" w:eastAsia="仿宋_GB2312" w:cs="Times New Roman"/>
          <w:kern w:val="0"/>
          <w:sz w:val="32"/>
          <w:szCs w:val="32"/>
          <w:lang w:val="en-US" w:eastAsia="zh-CN" w:bidi="ar"/>
        </w:rPr>
        <w:t>6个</w:t>
      </w:r>
      <w:r>
        <w:rPr>
          <w:rFonts w:hint="default" w:ascii="Times New Roman" w:hAnsi="Times New Roman" w:eastAsia="仿宋_GB2312" w:cs="Times New Roman"/>
          <w:kern w:val="0"/>
          <w:sz w:val="32"/>
          <w:szCs w:val="32"/>
          <w:lang w:val="en-US" w:eastAsia="zh-CN" w:bidi="ar"/>
        </w:rPr>
        <w:t>镇街试点建设村务信息集中公开专区，对村务信息的公开、保管、移交、查阅、归档等环节进行制度化规范，推动村务信息透明化，有效提升了村民对村务工作的监督能力。目前，宿城区基层政务公开与村务公开协同发展标准化试点已通过市级标准化试点项目考核验收并获得优秀等次。</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楷体_GB2312" w:cs="Times New Roman"/>
          <w:b w:val="0"/>
          <w:bCs/>
          <w:i w:val="0"/>
          <w:caps w:val="0"/>
          <w:color w:val="000000"/>
          <w:spacing w:val="0"/>
          <w:sz w:val="32"/>
          <w:szCs w:val="32"/>
          <w:shd w:val="clear" w:color="auto" w:fill="FFFFFF"/>
          <w:lang w:eastAsia="zh-CN"/>
        </w:rPr>
        <w:t>（五）</w:t>
      </w:r>
      <w:r>
        <w:rPr>
          <w:rFonts w:hint="eastAsia" w:ascii="Times New Roman" w:hAnsi="Times New Roman" w:eastAsia="楷体_GB2312" w:cs="Times New Roman"/>
          <w:b w:val="0"/>
          <w:bCs/>
          <w:i w:val="0"/>
          <w:caps w:val="0"/>
          <w:color w:val="000000"/>
          <w:spacing w:val="0"/>
          <w:sz w:val="32"/>
          <w:szCs w:val="32"/>
          <w:shd w:val="clear" w:color="auto" w:fill="FFFFFF"/>
          <w:lang w:val="en-US" w:eastAsia="zh-CN"/>
        </w:rPr>
        <w:t>监督保障</w:t>
      </w:r>
      <w:r>
        <w:rPr>
          <w:rFonts w:hint="default" w:ascii="Times New Roman" w:hAnsi="Times New Roman" w:eastAsia="楷体_GB2312" w:cs="Times New Roman"/>
          <w:b w:val="0"/>
          <w:bCs/>
          <w:i w:val="0"/>
          <w:caps w:val="0"/>
          <w:color w:val="000000"/>
          <w:spacing w:val="0"/>
          <w:sz w:val="32"/>
          <w:szCs w:val="32"/>
          <w:shd w:val="clear" w:color="auto" w:fill="FFFFFF"/>
          <w:lang w:eastAsia="zh-CN"/>
        </w:rPr>
        <w:t>。</w:t>
      </w:r>
      <w:r>
        <w:rPr>
          <w:rFonts w:hint="default" w:ascii="Times New Roman" w:hAnsi="Times New Roman" w:eastAsia="仿宋_GB2312" w:cs="Times New Roman"/>
          <w:kern w:val="0"/>
          <w:sz w:val="32"/>
          <w:szCs w:val="32"/>
          <w:lang w:val="en-US" w:eastAsia="zh-CN" w:bidi="ar"/>
        </w:rPr>
        <w:t>注重业务技能的更新提升，积极开展政务公开业务培训。组织各部门、各镇街园区具体工作人员与分管领导开展政务公开业务培训，邀请上级主管部门负责人结合最新工作要求与典型案例进行授课，提升</w:t>
      </w:r>
      <w:r>
        <w:rPr>
          <w:rFonts w:hint="eastAsia" w:ascii="Times New Roman" w:hAnsi="Times New Roman" w:eastAsia="仿宋_GB2312" w:cs="Times New Roman"/>
          <w:kern w:val="0"/>
          <w:sz w:val="32"/>
          <w:szCs w:val="32"/>
          <w:lang w:val="en-US" w:eastAsia="zh-CN" w:bidi="ar"/>
        </w:rPr>
        <w:t>全区</w:t>
      </w:r>
      <w:r>
        <w:rPr>
          <w:rFonts w:hint="default" w:ascii="Times New Roman" w:hAnsi="Times New Roman" w:eastAsia="仿宋_GB2312" w:cs="Times New Roman"/>
          <w:kern w:val="0"/>
          <w:sz w:val="32"/>
          <w:szCs w:val="32"/>
          <w:lang w:val="en-US" w:eastAsia="zh-CN" w:bidi="ar"/>
        </w:rPr>
        <w:t>政府信息主动公开和依申请公开件办理水平。全年共组织全区专题培训1次。做好政府网站和政务新媒体监管工作。强化政府网站和政务新媒体监测，</w:t>
      </w:r>
      <w:r>
        <w:rPr>
          <w:rFonts w:hint="eastAsia" w:ascii="Times New Roman" w:hAnsi="Times New Roman" w:eastAsia="仿宋_GB2312" w:cs="Times New Roman"/>
          <w:kern w:val="0"/>
          <w:sz w:val="32"/>
          <w:szCs w:val="32"/>
          <w:lang w:val="en-US" w:eastAsia="zh-CN" w:bidi="ar"/>
        </w:rPr>
        <w:t>结合</w:t>
      </w:r>
      <w:r>
        <w:rPr>
          <w:rFonts w:hint="default" w:ascii="Times New Roman" w:hAnsi="Times New Roman" w:eastAsia="仿宋_GB2312" w:cs="Times New Roman"/>
          <w:kern w:val="0"/>
          <w:sz w:val="32"/>
          <w:szCs w:val="32"/>
          <w:lang w:val="en-US" w:eastAsia="zh-CN" w:bidi="ar"/>
        </w:rPr>
        <w:t>政府网站和政务新媒体监测情况，督促各单位整改表述不规范、错敏词等信息4000余条，协助处理政府网站错链、暗链1</w:t>
      </w:r>
      <w:r>
        <w:rPr>
          <w:rFonts w:hint="eastAsia" w:ascii="Times New Roman" w:hAnsi="Times New Roman" w:eastAsia="仿宋_GB2312" w:cs="Times New Roman"/>
          <w:kern w:val="0"/>
          <w:sz w:val="32"/>
          <w:szCs w:val="32"/>
          <w:lang w:val="en-US" w:eastAsia="zh-CN" w:bidi="ar"/>
        </w:rPr>
        <w:t>4</w:t>
      </w:r>
      <w:r>
        <w:rPr>
          <w:rFonts w:hint="default" w:ascii="Times New Roman" w:hAnsi="Times New Roman" w:eastAsia="仿宋_GB2312" w:cs="Times New Roman"/>
          <w:kern w:val="0"/>
          <w:sz w:val="32"/>
          <w:szCs w:val="32"/>
          <w:lang w:val="en-US" w:eastAsia="zh-CN" w:bidi="ar"/>
        </w:rPr>
        <w:t>00余条。</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黑体" w:cs="Times New Roman"/>
          <w:b w:val="0"/>
          <w:bCs/>
          <w:i w:val="0"/>
          <w:caps w:val="0"/>
          <w:color w:val="000000"/>
          <w:spacing w:val="0"/>
          <w:sz w:val="32"/>
          <w:szCs w:val="32"/>
        </w:rPr>
      </w:pPr>
      <w:r>
        <w:rPr>
          <w:rFonts w:hint="default" w:ascii="Times New Roman" w:hAnsi="Times New Roman" w:eastAsia="黑体" w:cs="Times New Roman"/>
          <w:b w:val="0"/>
          <w:bCs/>
          <w:i w:val="0"/>
          <w:caps w:val="0"/>
          <w:color w:val="000000"/>
          <w:spacing w:val="0"/>
          <w:sz w:val="32"/>
          <w:szCs w:val="32"/>
          <w:shd w:val="clear" w:color="auto" w:fill="FFFFFF"/>
        </w:rPr>
        <w:t>二、主动公开政府信息情况</w:t>
      </w:r>
    </w:p>
    <w:tbl>
      <w:tblPr>
        <w:tblStyle w:val="11"/>
        <w:tblW w:w="8760" w:type="dxa"/>
        <w:jc w:val="center"/>
        <w:tblLayout w:type="fixed"/>
        <w:tblCellMar>
          <w:top w:w="15" w:type="dxa"/>
          <w:left w:w="15" w:type="dxa"/>
          <w:bottom w:w="15" w:type="dxa"/>
          <w:right w:w="15" w:type="dxa"/>
        </w:tblCellMar>
      </w:tblPr>
      <w:tblGrid>
        <w:gridCol w:w="3416"/>
        <w:gridCol w:w="1872"/>
        <w:gridCol w:w="1584"/>
        <w:gridCol w:w="1888"/>
      </w:tblGrid>
      <w:tr>
        <w:tblPrEx>
          <w:tblCellMar>
            <w:top w:w="15" w:type="dxa"/>
            <w:left w:w="15" w:type="dxa"/>
            <w:bottom w:w="15" w:type="dxa"/>
            <w:right w:w="15" w:type="dxa"/>
          </w:tblCellMar>
        </w:tblPrEx>
        <w:trPr>
          <w:trHeight w:val="510" w:hRule="atLeast"/>
          <w:jc w:val="center"/>
        </w:trPr>
        <w:tc>
          <w:tcPr>
            <w:tcW w:w="8760" w:type="dxa"/>
            <w:gridSpan w:val="4"/>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第二十条第（一）项</w:t>
            </w:r>
          </w:p>
        </w:tc>
      </w:tr>
      <w:tr>
        <w:tblPrEx>
          <w:tblCellMar>
            <w:top w:w="15" w:type="dxa"/>
            <w:left w:w="15" w:type="dxa"/>
            <w:bottom w:w="15" w:type="dxa"/>
            <w:right w:w="15" w:type="dxa"/>
          </w:tblCellMar>
        </w:tblPrEx>
        <w:trPr>
          <w:trHeight w:val="576"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信息内容</w:t>
            </w:r>
          </w:p>
        </w:tc>
        <w:tc>
          <w:tcPr>
            <w:tcW w:w="18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both"/>
              <w:textAlignment w:val="auto"/>
              <w:rPr>
                <w:rFonts w:hint="default" w:ascii="Times New Roman" w:hAnsi="Times New Roman" w:eastAsia="宋体" w:cs="Times New Roman"/>
                <w:color w:val="000000"/>
                <w:sz w:val="24"/>
                <w:szCs w:val="32"/>
                <w:lang w:val="en-US"/>
              </w:rPr>
            </w:pPr>
            <w:r>
              <w:rPr>
                <w:rFonts w:hint="default" w:ascii="Times New Roman" w:hAnsi="Times New Roman" w:eastAsia="宋体" w:cs="Times New Roman"/>
                <w:color w:val="000000"/>
                <w:kern w:val="0"/>
                <w:sz w:val="22"/>
                <w:szCs w:val="22"/>
              </w:rPr>
              <w:t>本年制</w:t>
            </w:r>
            <w:r>
              <w:rPr>
                <w:rFonts w:hint="default" w:ascii="Times New Roman" w:hAnsi="Times New Roman" w:eastAsia="宋体" w:cs="Times New Roman"/>
                <w:color w:val="000000"/>
                <w:kern w:val="0"/>
                <w:sz w:val="22"/>
                <w:szCs w:val="22"/>
                <w:lang w:val="en-US" w:eastAsia="zh-CN"/>
              </w:rPr>
              <w:t>发件数</w:t>
            </w:r>
          </w:p>
        </w:tc>
        <w:tc>
          <w:tcPr>
            <w:tcW w:w="158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rPr>
            </w:pPr>
            <w:r>
              <w:rPr>
                <w:rFonts w:hint="default" w:ascii="Times New Roman" w:hAnsi="Times New Roman" w:eastAsia="宋体" w:cs="Times New Roman"/>
                <w:color w:val="000000"/>
                <w:kern w:val="0"/>
                <w:sz w:val="22"/>
                <w:szCs w:val="22"/>
              </w:rPr>
              <w:t>本年</w:t>
            </w:r>
            <w:r>
              <w:rPr>
                <w:rFonts w:hint="default" w:ascii="Times New Roman" w:hAnsi="Times New Roman" w:eastAsia="宋体" w:cs="Times New Roman"/>
                <w:color w:val="000000"/>
                <w:kern w:val="0"/>
                <w:sz w:val="22"/>
                <w:szCs w:val="22"/>
                <w:lang w:val="en-US" w:eastAsia="zh-CN"/>
              </w:rPr>
              <w:t>废止件数</w:t>
            </w:r>
          </w:p>
        </w:tc>
        <w:tc>
          <w:tcPr>
            <w:tcW w:w="1888"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eastAsia="宋体" w:cs="Times New Roman"/>
                <w:color w:val="000000"/>
                <w:kern w:val="0"/>
                <w:sz w:val="22"/>
                <w:szCs w:val="22"/>
                <w:lang w:val="en-US" w:eastAsia="zh-CN"/>
              </w:rPr>
              <w:t>现行有效件数</w:t>
            </w:r>
          </w:p>
        </w:tc>
      </w:tr>
      <w:tr>
        <w:tblPrEx>
          <w:tblCellMar>
            <w:top w:w="15" w:type="dxa"/>
            <w:left w:w="15" w:type="dxa"/>
            <w:bottom w:w="15" w:type="dxa"/>
            <w:right w:w="15" w:type="dxa"/>
          </w:tblCellMar>
        </w:tblPrEx>
        <w:trPr>
          <w:trHeight w:val="399"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left"/>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规章</w:t>
            </w:r>
          </w:p>
        </w:tc>
        <w:tc>
          <w:tcPr>
            <w:tcW w:w="187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0</w:t>
            </w:r>
          </w:p>
        </w:tc>
        <w:tc>
          <w:tcPr>
            <w:tcW w:w="158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0</w:t>
            </w:r>
          </w:p>
        </w:tc>
        <w:tc>
          <w:tcPr>
            <w:tcW w:w="1888"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0</w:t>
            </w:r>
          </w:p>
        </w:tc>
      </w:tr>
      <w:tr>
        <w:tblPrEx>
          <w:tblCellMar>
            <w:top w:w="15" w:type="dxa"/>
            <w:left w:w="15" w:type="dxa"/>
            <w:bottom w:w="15" w:type="dxa"/>
            <w:right w:w="15" w:type="dxa"/>
          </w:tblCellMar>
        </w:tblPrEx>
        <w:trPr>
          <w:trHeight w:val="395"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left"/>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规范性文件</w:t>
            </w:r>
          </w:p>
        </w:tc>
        <w:tc>
          <w:tcPr>
            <w:tcW w:w="187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1</w:t>
            </w:r>
          </w:p>
        </w:tc>
        <w:tc>
          <w:tcPr>
            <w:tcW w:w="158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eastAsia" w:ascii="Times New Roman" w:hAnsi="Times New Roman" w:cs="Times New Roman"/>
                <w:color w:val="000000"/>
                <w:sz w:val="24"/>
                <w:szCs w:val="32"/>
                <w:lang w:val="en-US" w:eastAsia="zh-CN"/>
              </w:rPr>
              <w:t>0</w:t>
            </w:r>
          </w:p>
        </w:tc>
        <w:tc>
          <w:tcPr>
            <w:tcW w:w="1888"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eastAsia" w:ascii="Times New Roman" w:hAnsi="Times New Roman" w:cs="Times New Roman"/>
                <w:color w:val="000000"/>
                <w:sz w:val="24"/>
                <w:szCs w:val="32"/>
                <w:lang w:val="en-US" w:eastAsia="zh-CN"/>
              </w:rPr>
              <w:t>6</w:t>
            </w:r>
          </w:p>
        </w:tc>
      </w:tr>
      <w:tr>
        <w:tblPrEx>
          <w:tblCellMar>
            <w:top w:w="15" w:type="dxa"/>
            <w:left w:w="15" w:type="dxa"/>
            <w:bottom w:w="15" w:type="dxa"/>
            <w:right w:w="15" w:type="dxa"/>
          </w:tblCellMar>
        </w:tblPrEx>
        <w:trPr>
          <w:trHeight w:val="548" w:hRule="atLeast"/>
          <w:jc w:val="center"/>
        </w:trPr>
        <w:tc>
          <w:tcPr>
            <w:tcW w:w="8760" w:type="dxa"/>
            <w:gridSpan w:val="4"/>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第二十条第（五）项</w:t>
            </w:r>
          </w:p>
        </w:tc>
      </w:tr>
      <w:tr>
        <w:tblPrEx>
          <w:tblCellMar>
            <w:top w:w="15" w:type="dxa"/>
            <w:left w:w="15" w:type="dxa"/>
            <w:bottom w:w="15" w:type="dxa"/>
            <w:right w:w="15" w:type="dxa"/>
          </w:tblCellMar>
        </w:tblPrEx>
        <w:trPr>
          <w:trHeight w:val="500"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信息内容</w:t>
            </w:r>
          </w:p>
        </w:tc>
        <w:tc>
          <w:tcPr>
            <w:tcW w:w="5344" w:type="dxa"/>
            <w:gridSpan w:val="3"/>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eastAsia="宋体" w:cs="Times New Roman"/>
                <w:color w:val="000000"/>
                <w:kern w:val="0"/>
                <w:sz w:val="22"/>
                <w:szCs w:val="22"/>
                <w:lang w:val="en-US" w:eastAsia="zh-CN"/>
              </w:rPr>
              <w:t>本年处理决定数量</w:t>
            </w:r>
          </w:p>
        </w:tc>
      </w:tr>
      <w:tr>
        <w:tblPrEx>
          <w:tblCellMar>
            <w:top w:w="15" w:type="dxa"/>
            <w:left w:w="15" w:type="dxa"/>
            <w:bottom w:w="15" w:type="dxa"/>
            <w:right w:w="15" w:type="dxa"/>
          </w:tblCellMar>
        </w:tblPrEx>
        <w:trPr>
          <w:trHeight w:val="350"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left"/>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行政许可</w:t>
            </w:r>
          </w:p>
        </w:tc>
        <w:tc>
          <w:tcPr>
            <w:tcW w:w="5344"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0</w:t>
            </w:r>
          </w:p>
        </w:tc>
      </w:tr>
      <w:tr>
        <w:tblPrEx>
          <w:tblCellMar>
            <w:top w:w="15" w:type="dxa"/>
            <w:left w:w="15" w:type="dxa"/>
            <w:bottom w:w="15" w:type="dxa"/>
            <w:right w:w="15" w:type="dxa"/>
          </w:tblCellMar>
        </w:tblPrEx>
        <w:trPr>
          <w:trHeight w:val="470" w:hRule="atLeast"/>
          <w:jc w:val="center"/>
        </w:trPr>
        <w:tc>
          <w:tcPr>
            <w:tcW w:w="8760" w:type="dxa"/>
            <w:gridSpan w:val="4"/>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第二十条第（六）项</w:t>
            </w:r>
          </w:p>
        </w:tc>
      </w:tr>
      <w:tr>
        <w:tblPrEx>
          <w:tblCellMar>
            <w:top w:w="15" w:type="dxa"/>
            <w:left w:w="15" w:type="dxa"/>
            <w:bottom w:w="15" w:type="dxa"/>
            <w:right w:w="15" w:type="dxa"/>
          </w:tblCellMar>
        </w:tblPrEx>
        <w:trPr>
          <w:trHeight w:val="510"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信息内容</w:t>
            </w:r>
          </w:p>
        </w:tc>
        <w:tc>
          <w:tcPr>
            <w:tcW w:w="5344" w:type="dxa"/>
            <w:gridSpan w:val="3"/>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lang w:val="en-US" w:eastAsia="zh-CN"/>
              </w:rPr>
              <w:t>本年处理决定数量</w:t>
            </w:r>
          </w:p>
        </w:tc>
      </w:tr>
      <w:tr>
        <w:tblPrEx>
          <w:tblCellMar>
            <w:top w:w="15" w:type="dxa"/>
            <w:left w:w="15" w:type="dxa"/>
            <w:bottom w:w="15" w:type="dxa"/>
            <w:right w:w="15" w:type="dxa"/>
          </w:tblCellMar>
        </w:tblPrEx>
        <w:trPr>
          <w:trHeight w:val="470"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left"/>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行政处罚</w:t>
            </w:r>
          </w:p>
        </w:tc>
        <w:tc>
          <w:tcPr>
            <w:tcW w:w="5344"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0</w:t>
            </w:r>
          </w:p>
        </w:tc>
      </w:tr>
      <w:tr>
        <w:tblPrEx>
          <w:tblCellMar>
            <w:top w:w="15" w:type="dxa"/>
            <w:left w:w="15" w:type="dxa"/>
            <w:bottom w:w="15" w:type="dxa"/>
            <w:right w:w="15" w:type="dxa"/>
          </w:tblCellMar>
        </w:tblPrEx>
        <w:trPr>
          <w:trHeight w:val="507"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left"/>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行政强制</w:t>
            </w:r>
          </w:p>
        </w:tc>
        <w:tc>
          <w:tcPr>
            <w:tcW w:w="5344"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0</w:t>
            </w:r>
          </w:p>
        </w:tc>
      </w:tr>
      <w:tr>
        <w:tblPrEx>
          <w:tblCellMar>
            <w:top w:w="15" w:type="dxa"/>
            <w:left w:w="15" w:type="dxa"/>
            <w:bottom w:w="15" w:type="dxa"/>
            <w:right w:w="15" w:type="dxa"/>
          </w:tblCellMar>
        </w:tblPrEx>
        <w:trPr>
          <w:trHeight w:val="569" w:hRule="atLeast"/>
          <w:jc w:val="center"/>
        </w:trPr>
        <w:tc>
          <w:tcPr>
            <w:tcW w:w="8760" w:type="dxa"/>
            <w:gridSpan w:val="4"/>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第二十条第（八）项</w:t>
            </w:r>
          </w:p>
        </w:tc>
      </w:tr>
      <w:tr>
        <w:tblPrEx>
          <w:tblCellMar>
            <w:top w:w="15" w:type="dxa"/>
            <w:left w:w="15" w:type="dxa"/>
            <w:bottom w:w="15" w:type="dxa"/>
            <w:right w:w="15" w:type="dxa"/>
          </w:tblCellMar>
        </w:tblPrEx>
        <w:trPr>
          <w:trHeight w:val="479"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信息内容</w:t>
            </w:r>
          </w:p>
        </w:tc>
        <w:tc>
          <w:tcPr>
            <w:tcW w:w="5344"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rPr>
            </w:pPr>
            <w:r>
              <w:rPr>
                <w:rFonts w:hint="default" w:ascii="Times New Roman" w:hAnsi="Times New Roman" w:eastAsia="宋体" w:cs="Times New Roman"/>
                <w:color w:val="000000"/>
                <w:kern w:val="0"/>
                <w:sz w:val="22"/>
                <w:szCs w:val="22"/>
                <w:lang w:val="en-US" w:eastAsia="zh-CN"/>
              </w:rPr>
              <w:t>本年收费金额（单位：万元）</w:t>
            </w:r>
          </w:p>
        </w:tc>
      </w:tr>
      <w:tr>
        <w:tblPrEx>
          <w:tblCellMar>
            <w:top w:w="15" w:type="dxa"/>
            <w:left w:w="15" w:type="dxa"/>
            <w:bottom w:w="15" w:type="dxa"/>
            <w:right w:w="15" w:type="dxa"/>
          </w:tblCellMar>
        </w:tblPrEx>
        <w:trPr>
          <w:trHeight w:val="758"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left"/>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行政事业性收费</w:t>
            </w:r>
          </w:p>
        </w:tc>
        <w:tc>
          <w:tcPr>
            <w:tcW w:w="5344"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0</w:t>
            </w:r>
          </w:p>
        </w:tc>
      </w:tr>
    </w:tbl>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黑体" w:cs="Times New Roman"/>
          <w:b w:val="0"/>
          <w:bCs/>
          <w:i w:val="0"/>
          <w:caps w:val="0"/>
          <w:color w:val="000000"/>
          <w:spacing w:val="0"/>
          <w:sz w:val="32"/>
          <w:szCs w:val="32"/>
          <w:shd w:val="clear" w:color="auto" w:fill="FFFFFF"/>
        </w:rPr>
      </w:pPr>
      <w:r>
        <w:rPr>
          <w:rFonts w:hint="default" w:ascii="Times New Roman" w:hAnsi="Times New Roman" w:eastAsia="黑体" w:cs="Times New Roman"/>
          <w:b w:val="0"/>
          <w:bCs/>
          <w:i w:val="0"/>
          <w:caps w:val="0"/>
          <w:color w:val="000000"/>
          <w:spacing w:val="0"/>
          <w:sz w:val="32"/>
          <w:szCs w:val="32"/>
          <w:shd w:val="clear" w:color="auto" w:fill="FFFFFF"/>
        </w:rPr>
        <w:t>三、收到和处理政府信息公开申请情况</w:t>
      </w:r>
    </w:p>
    <w:tbl>
      <w:tblPr>
        <w:tblStyle w:val="11"/>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767"/>
        <w:gridCol w:w="943"/>
        <w:gridCol w:w="3219"/>
        <w:gridCol w:w="688"/>
        <w:gridCol w:w="688"/>
        <w:gridCol w:w="688"/>
        <w:gridCol w:w="688"/>
        <w:gridCol w:w="688"/>
        <w:gridCol w:w="688"/>
        <w:gridCol w:w="688"/>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4929" w:type="dxa"/>
            <w:gridSpan w:val="3"/>
            <w:vMerge w:val="restart"/>
            <w:tcBorders>
              <w:top w:val="single" w:color="auto" w:sz="8" w:space="0"/>
              <w:left w:val="single" w:color="auto" w:sz="8" w:space="0"/>
              <w:bottom w:val="outset" w:color="auto" w:sz="8" w:space="0"/>
              <w:right w:val="single" w:color="auto" w:sz="8" w:space="0"/>
            </w:tcBorders>
            <w:noWrap w:val="0"/>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楷体" w:hAnsi="楷体" w:eastAsia="楷体" w:cs="楷体"/>
                <w:color w:val="auto"/>
                <w:kern w:val="0"/>
                <w:sz w:val="20"/>
                <w:szCs w:val="20"/>
                <w:lang w:val="en-US" w:eastAsia="zh-CN" w:bidi="ar"/>
              </w:rPr>
              <w:t>（本列数据的勾稽关系为：第一项加第二项之和，等于第三项加第四项之和）</w:t>
            </w:r>
          </w:p>
        </w:tc>
        <w:tc>
          <w:tcPr>
            <w:tcW w:w="4816" w:type="dxa"/>
            <w:gridSpan w:val="7"/>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rPr>
            </w:pPr>
            <w:r>
              <w:rPr>
                <w:rFonts w:hint="eastAsia" w:ascii="宋体" w:hAnsi="宋体" w:eastAsia="宋体" w:cs="宋体"/>
                <w:color w:val="auto"/>
                <w:kern w:val="0"/>
                <w:sz w:val="20"/>
                <w:szCs w:val="20"/>
                <w:lang w:val="en-US" w:eastAsia="zh-CN" w:bidi="ar"/>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4929" w:type="dxa"/>
            <w:gridSpan w:val="3"/>
            <w:vMerge w:val="continue"/>
            <w:tcBorders>
              <w:top w:val="single" w:color="auto" w:sz="8" w:space="0"/>
              <w:left w:val="single" w:color="auto" w:sz="8" w:space="0"/>
              <w:bottom w:val="outset" w:color="auto" w:sz="8" w:space="0"/>
              <w:right w:val="single" w:color="auto" w:sz="8" w:space="0"/>
            </w:tcBorders>
            <w:noWrap w:val="0"/>
            <w:tcMar>
              <w:top w:w="0" w:type="dxa"/>
              <w:left w:w="108" w:type="dxa"/>
              <w:bottom w:w="0" w:type="dxa"/>
              <w:right w:w="108" w:type="dxa"/>
            </w:tcMar>
            <w:vAlign w:val="center"/>
          </w:tcPr>
          <w:p>
            <w:pPr>
              <w:rPr>
                <w:rFonts w:hint="eastAsia" w:ascii="宋体"/>
                <w:color w:val="auto"/>
                <w:sz w:val="24"/>
                <w:szCs w:val="24"/>
              </w:rPr>
            </w:pPr>
          </w:p>
        </w:tc>
        <w:tc>
          <w:tcPr>
            <w:tcW w:w="688" w:type="dxa"/>
            <w:vMerge w:val="restart"/>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rPr>
            </w:pPr>
            <w:r>
              <w:rPr>
                <w:rFonts w:hint="eastAsia" w:ascii="宋体" w:hAnsi="宋体" w:eastAsia="宋体" w:cs="宋体"/>
                <w:color w:val="auto"/>
                <w:kern w:val="0"/>
                <w:sz w:val="20"/>
                <w:szCs w:val="20"/>
                <w:lang w:val="en-US" w:eastAsia="zh-CN" w:bidi="ar"/>
              </w:rPr>
              <w:t>自然人</w:t>
            </w:r>
          </w:p>
        </w:tc>
        <w:tc>
          <w:tcPr>
            <w:tcW w:w="3440" w:type="dxa"/>
            <w:gridSpan w:val="5"/>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rPr>
            </w:pPr>
            <w:r>
              <w:rPr>
                <w:rFonts w:hint="eastAsia" w:ascii="宋体" w:hAnsi="宋体" w:eastAsia="宋体" w:cs="宋体"/>
                <w:color w:val="auto"/>
                <w:kern w:val="0"/>
                <w:sz w:val="20"/>
                <w:szCs w:val="20"/>
                <w:lang w:val="en-US" w:eastAsia="zh-CN" w:bidi="ar"/>
              </w:rPr>
              <w:t>法人或其他组织</w:t>
            </w:r>
          </w:p>
        </w:tc>
        <w:tc>
          <w:tcPr>
            <w:tcW w:w="688" w:type="dxa"/>
            <w:vMerge w:val="restart"/>
            <w:tcBorders>
              <w:top w:val="single" w:color="auto" w:sz="8" w:space="0"/>
              <w:left w:val="nil"/>
              <w:bottom w:val="outset"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rPr>
            </w:pPr>
            <w:r>
              <w:rPr>
                <w:rFonts w:hint="eastAsia" w:ascii="宋体" w:hAnsi="宋体" w:eastAsia="宋体" w:cs="宋体"/>
                <w:color w:val="auto"/>
                <w:kern w:val="0"/>
                <w:sz w:val="20"/>
                <w:szCs w:val="20"/>
                <w:lang w:val="en-US" w:eastAsia="zh-CN"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4929" w:type="dxa"/>
            <w:gridSpan w:val="3"/>
            <w:vMerge w:val="continue"/>
            <w:tcBorders>
              <w:top w:val="single" w:color="auto" w:sz="8" w:space="0"/>
              <w:left w:val="single" w:color="auto" w:sz="8" w:space="0"/>
              <w:bottom w:val="outset" w:color="auto" w:sz="8" w:space="0"/>
              <w:right w:val="single" w:color="auto" w:sz="8" w:space="0"/>
            </w:tcBorders>
            <w:noWrap w:val="0"/>
            <w:tcMar>
              <w:top w:w="0" w:type="dxa"/>
              <w:left w:w="108" w:type="dxa"/>
              <w:bottom w:w="0" w:type="dxa"/>
              <w:right w:w="108" w:type="dxa"/>
            </w:tcMar>
            <w:vAlign w:val="center"/>
          </w:tcPr>
          <w:p>
            <w:pPr>
              <w:rPr>
                <w:rFonts w:hint="eastAsia" w:ascii="宋体"/>
                <w:color w:val="auto"/>
                <w:sz w:val="24"/>
                <w:szCs w:val="24"/>
              </w:rPr>
            </w:pPr>
          </w:p>
        </w:tc>
        <w:tc>
          <w:tcPr>
            <w:tcW w:w="688" w:type="dxa"/>
            <w:vMerge w:val="continue"/>
            <w:tcBorders>
              <w:top w:val="nil"/>
              <w:left w:val="nil"/>
              <w:bottom w:val="single"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rPr>
            </w:pPr>
            <w:r>
              <w:rPr>
                <w:rFonts w:hint="eastAsia" w:ascii="宋体" w:hAnsi="宋体" w:eastAsia="宋体" w:cs="宋体"/>
                <w:color w:val="auto"/>
                <w:kern w:val="0"/>
                <w:sz w:val="20"/>
                <w:szCs w:val="20"/>
                <w:lang w:val="en-US" w:eastAsia="zh-CN" w:bidi="ar"/>
              </w:rPr>
              <w:t>商业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rPr>
            </w:pPr>
            <w:r>
              <w:rPr>
                <w:rFonts w:hint="eastAsia" w:ascii="宋体" w:hAnsi="宋体" w:eastAsia="宋体" w:cs="宋体"/>
                <w:color w:val="auto"/>
                <w:kern w:val="0"/>
                <w:sz w:val="20"/>
                <w:szCs w:val="20"/>
                <w:lang w:val="en-US" w:eastAsia="zh-CN" w:bidi="ar"/>
              </w:rPr>
              <w:t>企业</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rPr>
            </w:pPr>
            <w:r>
              <w:rPr>
                <w:rFonts w:hint="eastAsia" w:ascii="宋体" w:hAnsi="宋体" w:eastAsia="宋体" w:cs="宋体"/>
                <w:color w:val="auto"/>
                <w:kern w:val="0"/>
                <w:sz w:val="20"/>
                <w:szCs w:val="20"/>
                <w:lang w:val="en-US" w:eastAsia="zh-CN" w:bidi="ar"/>
              </w:rPr>
              <w:t>科研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rPr>
            </w:pPr>
            <w:r>
              <w:rPr>
                <w:rFonts w:hint="eastAsia" w:ascii="宋体" w:hAnsi="宋体" w:eastAsia="宋体" w:cs="宋体"/>
                <w:color w:val="auto"/>
                <w:kern w:val="0"/>
                <w:sz w:val="20"/>
                <w:szCs w:val="20"/>
                <w:lang w:val="en-US" w:eastAsia="zh-CN" w:bidi="ar"/>
              </w:rPr>
              <w:t>机构</w:t>
            </w:r>
          </w:p>
        </w:tc>
        <w:tc>
          <w:tcPr>
            <w:tcW w:w="688" w:type="dxa"/>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rPr>
            </w:pPr>
            <w:r>
              <w:rPr>
                <w:rFonts w:hint="eastAsia" w:ascii="宋体" w:hAnsi="宋体" w:eastAsia="宋体" w:cs="宋体"/>
                <w:color w:val="auto"/>
                <w:kern w:val="0"/>
                <w:sz w:val="20"/>
                <w:szCs w:val="20"/>
                <w:lang w:val="en-US" w:eastAsia="zh-CN" w:bidi="ar"/>
              </w:rPr>
              <w:t>社会公益组织</w:t>
            </w:r>
          </w:p>
        </w:tc>
        <w:tc>
          <w:tcPr>
            <w:tcW w:w="688" w:type="dxa"/>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rPr>
            </w:pPr>
            <w:r>
              <w:rPr>
                <w:rFonts w:hint="eastAsia" w:ascii="宋体" w:hAnsi="宋体" w:eastAsia="宋体" w:cs="宋体"/>
                <w:color w:val="auto"/>
                <w:kern w:val="0"/>
                <w:sz w:val="20"/>
                <w:szCs w:val="20"/>
                <w:lang w:val="en-US" w:eastAsia="zh-CN" w:bidi="ar"/>
              </w:rPr>
              <w:t>法律服务机构</w:t>
            </w:r>
          </w:p>
        </w:tc>
        <w:tc>
          <w:tcPr>
            <w:tcW w:w="688" w:type="dxa"/>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rPr>
            </w:pPr>
            <w:r>
              <w:rPr>
                <w:rFonts w:hint="eastAsia" w:ascii="宋体" w:hAnsi="宋体" w:eastAsia="宋体" w:cs="宋体"/>
                <w:color w:val="auto"/>
                <w:kern w:val="0"/>
                <w:sz w:val="20"/>
                <w:szCs w:val="20"/>
                <w:lang w:val="en-US" w:eastAsia="zh-CN" w:bidi="ar"/>
              </w:rPr>
              <w:t>其他</w:t>
            </w:r>
          </w:p>
        </w:tc>
        <w:tc>
          <w:tcPr>
            <w:tcW w:w="688" w:type="dxa"/>
            <w:vMerge w:val="continue"/>
            <w:tcBorders>
              <w:top w:val="single" w:color="auto" w:sz="8" w:space="0"/>
              <w:left w:val="nil"/>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4929" w:type="dxa"/>
            <w:gridSpan w:val="3"/>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一、本年新收政府信息公开申请数量</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43</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1</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44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4929" w:type="dxa"/>
            <w:gridSpan w:val="3"/>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二、上年结转政府信息公开申请数量</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4</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restart"/>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三、本年度办理结果</w:t>
            </w:r>
          </w:p>
        </w:tc>
        <w:tc>
          <w:tcPr>
            <w:tcW w:w="4162" w:type="dxa"/>
            <w:gridSpan w:val="2"/>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（一）予以公开</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6</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4162" w:type="dxa"/>
            <w:gridSpan w:val="2"/>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（二）部分公开</w:t>
            </w:r>
            <w:r>
              <w:rPr>
                <w:rFonts w:hint="eastAsia" w:ascii="楷体" w:hAnsi="楷体" w:eastAsia="楷体" w:cs="楷体"/>
                <w:color w:val="auto"/>
                <w:kern w:val="0"/>
                <w:sz w:val="20"/>
                <w:szCs w:val="20"/>
                <w:lang w:val="en-US" w:eastAsia="zh-CN" w:bidi="ar"/>
              </w:rPr>
              <w:t>（区分处理的，只计这一情形，不计其他情形）</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19</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19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restart"/>
            <w:tcBorders>
              <w:top w:val="nil"/>
              <w:left w:val="nil"/>
              <w:bottom w:val="outset"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（三）不予公开</w:t>
            </w: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1.属于国家秘密</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single" w:color="auto" w:sz="8" w:space="0"/>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continue"/>
            <w:tcBorders>
              <w:top w:val="nil"/>
              <w:left w:val="nil"/>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2.其他法律行政法规禁止公开</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continue"/>
            <w:tcBorders>
              <w:top w:val="nil"/>
              <w:left w:val="nil"/>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3.危及“三安全一稳定”</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continue"/>
            <w:tcBorders>
              <w:top w:val="nil"/>
              <w:left w:val="nil"/>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4.保护第三方合法权益</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continue"/>
            <w:tcBorders>
              <w:top w:val="nil"/>
              <w:left w:val="nil"/>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5.属于三类内部事务信息</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continue"/>
            <w:tcBorders>
              <w:top w:val="nil"/>
              <w:left w:val="nil"/>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6.属于四类过程性信息</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continue"/>
            <w:tcBorders>
              <w:top w:val="nil"/>
              <w:left w:val="nil"/>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7.属于行政执法案卷</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continue"/>
            <w:tcBorders>
              <w:top w:val="nil"/>
              <w:left w:val="nil"/>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8.属于行政查询事项</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restart"/>
            <w:tcBorders>
              <w:top w:val="nil"/>
              <w:left w:val="nil"/>
              <w:bottom w:val="outset"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（四）无法提供</w:t>
            </w: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1.本机关不掌握相关政府信息</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14</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1</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15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continue"/>
            <w:tcBorders>
              <w:top w:val="nil"/>
              <w:left w:val="nil"/>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2.没有现成信息需要另行制作</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continue"/>
            <w:tcBorders>
              <w:top w:val="nil"/>
              <w:left w:val="nil"/>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3.补正后申请内容仍不明确</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restart"/>
            <w:tcBorders>
              <w:top w:val="nil"/>
              <w:left w:val="nil"/>
              <w:bottom w:val="outset"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（五）不予处理</w:t>
            </w: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1.信访举报投诉类申请</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1</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continue"/>
            <w:tcBorders>
              <w:top w:val="nil"/>
              <w:left w:val="nil"/>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2.重复申请</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continue"/>
            <w:tcBorders>
              <w:top w:val="nil"/>
              <w:left w:val="nil"/>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3.要求提供公开出版物</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continue"/>
            <w:tcBorders>
              <w:top w:val="nil"/>
              <w:left w:val="nil"/>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4.无正当理由大量反复申请</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79" w:hRule="atLeast"/>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continue"/>
            <w:tcBorders>
              <w:top w:val="nil"/>
              <w:left w:val="nil"/>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3219" w:type="dxa"/>
            <w:tcBorders>
              <w:top w:val="nil"/>
              <w:left w:val="nil"/>
              <w:bottom w:val="outset"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auto"/>
              </w:rPr>
            </w:pPr>
            <w:r>
              <w:rPr>
                <w:rFonts w:hint="eastAsia" w:ascii="宋体" w:hAnsi="宋体" w:eastAsia="宋体" w:cs="宋体"/>
                <w:color w:val="auto"/>
                <w:kern w:val="0"/>
                <w:sz w:val="20"/>
                <w:szCs w:val="20"/>
                <w:lang w:val="en-US" w:eastAsia="zh-CN" w:bidi="ar"/>
              </w:rPr>
              <w:t>5.要求行政机关确认或重新出具已获取信息</w:t>
            </w:r>
          </w:p>
        </w:tc>
        <w:tc>
          <w:tcPr>
            <w:tcW w:w="688" w:type="dxa"/>
            <w:tcBorders>
              <w:top w:val="nil"/>
              <w:left w:val="nil"/>
              <w:bottom w:val="outset"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outset"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outset"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outset"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outset"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outset"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outset"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restart"/>
            <w:tcBorders>
              <w:top w:val="outset" w:color="auto" w:sz="8" w:space="0"/>
              <w:left w:val="nil"/>
              <w:bottom w:val="outset"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（六）其他处理</w:t>
            </w: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auto"/>
              </w:rPr>
            </w:pPr>
            <w:r>
              <w:rPr>
                <w:rFonts w:hint="eastAsia" w:ascii="宋体" w:hAnsi="宋体" w:eastAsia="宋体" w:cs="宋体"/>
                <w:color w:val="auto"/>
                <w:kern w:val="0"/>
                <w:sz w:val="20"/>
                <w:szCs w:val="20"/>
                <w:lang w:val="en-US" w:eastAsia="zh-CN" w:bidi="ar"/>
              </w:rPr>
              <w:t>1.申请人无正当理由逾期不补正、行政机关不再处理其政府信息公开申请</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1</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continue"/>
            <w:tcBorders>
              <w:top w:val="outset" w:color="auto" w:sz="8" w:space="0"/>
              <w:left w:val="nil"/>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auto"/>
              </w:rPr>
            </w:pPr>
            <w:r>
              <w:rPr>
                <w:rFonts w:hint="eastAsia" w:ascii="宋体" w:hAnsi="宋体" w:eastAsia="宋体" w:cs="宋体"/>
                <w:color w:val="auto"/>
                <w:kern w:val="0"/>
                <w:sz w:val="20"/>
                <w:szCs w:val="20"/>
                <w:lang w:val="en-US" w:eastAsia="zh-CN" w:bidi="ar"/>
              </w:rPr>
              <w:t>2.申请人逾期未按收费通知要求缴纳费用、行政机关不再处理其政府信息公开申请</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943" w:type="dxa"/>
            <w:vMerge w:val="continue"/>
            <w:tcBorders>
              <w:top w:val="outset" w:color="auto" w:sz="8" w:space="0"/>
              <w:left w:val="nil"/>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3219"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3.其他</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6</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767" w:type="dxa"/>
            <w:vMerge w:val="continue"/>
            <w:tcBorders>
              <w:top w:val="nil"/>
              <w:left w:val="single" w:color="auto" w:sz="8" w:space="0"/>
              <w:bottom w:val="outset" w:color="auto" w:sz="8" w:space="0"/>
              <w:right w:val="single" w:color="auto" w:sz="8" w:space="0"/>
            </w:tcBorders>
            <w:noWrap w:val="0"/>
            <w:tcMar>
              <w:top w:w="0" w:type="dxa"/>
              <w:left w:w="57" w:type="dxa"/>
              <w:bottom w:w="0" w:type="dxa"/>
              <w:right w:w="57" w:type="dxa"/>
            </w:tcMar>
            <w:vAlign w:val="center"/>
          </w:tcPr>
          <w:p>
            <w:pPr>
              <w:rPr>
                <w:rFonts w:hint="eastAsia" w:ascii="宋体"/>
                <w:color w:val="auto"/>
                <w:sz w:val="24"/>
                <w:szCs w:val="24"/>
              </w:rPr>
            </w:pPr>
          </w:p>
        </w:tc>
        <w:tc>
          <w:tcPr>
            <w:tcW w:w="4162" w:type="dxa"/>
            <w:gridSpan w:val="2"/>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（七）总计</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47</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1</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48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4929" w:type="dxa"/>
            <w:gridSpan w:val="3"/>
            <w:tcBorders>
              <w:top w:val="nil"/>
              <w:left w:val="single" w:color="auto" w:sz="8" w:space="0"/>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color w:val="auto"/>
                <w:kern w:val="0"/>
                <w:sz w:val="20"/>
                <w:szCs w:val="20"/>
                <w:lang w:val="en-US" w:eastAsia="zh-CN" w:bidi="ar"/>
              </w:rPr>
              <w:t>四、结转下年度继续办理</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c>
          <w:tcPr>
            <w:tcW w:w="688"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cs="Times New Roman"/>
                <w:color w:val="auto"/>
                <w:kern w:val="0"/>
                <w:sz w:val="20"/>
                <w:szCs w:val="20"/>
                <w:lang w:val="en-US" w:eastAsia="zh-CN" w:bidi="ar"/>
              </w:rPr>
              <w:t>0</w:t>
            </w:r>
          </w:p>
        </w:tc>
      </w:tr>
    </w:tbl>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黑体" w:cs="Times New Roman"/>
          <w:b w:val="0"/>
          <w:bCs/>
          <w:i w:val="0"/>
          <w:caps w:val="0"/>
          <w:color w:val="000000"/>
          <w:spacing w:val="0"/>
          <w:sz w:val="32"/>
          <w:szCs w:val="32"/>
          <w:shd w:val="clear" w:color="auto" w:fill="FFFFFF"/>
        </w:rPr>
      </w:pPr>
      <w:r>
        <w:rPr>
          <w:rFonts w:hint="default" w:ascii="Times New Roman" w:hAnsi="Times New Roman" w:eastAsia="黑体" w:cs="Times New Roman"/>
          <w:b w:val="0"/>
          <w:bCs/>
          <w:i w:val="0"/>
          <w:caps w:val="0"/>
          <w:color w:val="000000"/>
          <w:spacing w:val="0"/>
          <w:sz w:val="32"/>
          <w:szCs w:val="32"/>
          <w:shd w:val="clear" w:color="auto" w:fill="FFFFFF"/>
        </w:rPr>
        <w:t>四、政府信息公开行政复议、行政诉讼情况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default" w:ascii="Times New Roman" w:hAnsi="Times New Roman" w:eastAsia="宋体" w:cs="Times New Roman"/>
          <w:i w:val="0"/>
          <w:caps w:val="0"/>
          <w:color w:val="333333"/>
          <w:spacing w:val="0"/>
          <w:sz w:val="24"/>
          <w:szCs w:val="24"/>
        </w:rPr>
      </w:pPr>
    </w:p>
    <w:tbl>
      <w:tblPr>
        <w:tblStyle w:val="11"/>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074"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行政复议</w:t>
            </w:r>
          </w:p>
        </w:tc>
        <w:tc>
          <w:tcPr>
            <w:tcW w:w="5997"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结果维持</w:t>
            </w:r>
          </w:p>
        </w:tc>
        <w:tc>
          <w:tcPr>
            <w:tcW w:w="604" w:type="dxa"/>
            <w:vMerge w:val="restart"/>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结果纠正</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其他结果</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尚未审结</w:t>
            </w:r>
          </w:p>
        </w:tc>
        <w:tc>
          <w:tcPr>
            <w:tcW w:w="658"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总计</w:t>
            </w:r>
          </w:p>
        </w:tc>
        <w:tc>
          <w:tcPr>
            <w:tcW w:w="2970"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未经复议直接起诉</w:t>
            </w:r>
          </w:p>
        </w:tc>
        <w:tc>
          <w:tcPr>
            <w:tcW w:w="302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default" w:ascii="Times New Roman" w:hAnsi="Times New Roman" w:cs="Times New Roman"/>
                <w:sz w:val="24"/>
                <w:szCs w:val="24"/>
              </w:rPr>
            </w:pPr>
          </w:p>
        </w:tc>
        <w:tc>
          <w:tcPr>
            <w:tcW w:w="60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default" w:ascii="Times New Roman" w:hAnsi="Times New Roman" w:cs="Times New Roman"/>
                <w:sz w:val="24"/>
                <w:szCs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hint="default" w:ascii="Times New Roman" w:hAnsi="Times New Roman" w:cs="Times New Roman"/>
                <w:sz w:val="24"/>
                <w:szCs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hint="default" w:ascii="Times New Roman" w:hAnsi="Times New Roman" w:cs="Times New Roman"/>
                <w:sz w:val="24"/>
                <w:szCs w:val="24"/>
              </w:rPr>
            </w:pPr>
          </w:p>
        </w:tc>
        <w:tc>
          <w:tcPr>
            <w:tcW w:w="658"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hint="default" w:ascii="Times New Roman" w:hAnsi="Times New Roman" w:cs="Times New Roman"/>
                <w:sz w:val="24"/>
                <w:szCs w:val="24"/>
              </w:rPr>
            </w:pPr>
          </w:p>
        </w:tc>
        <w:tc>
          <w:tcPr>
            <w:tcW w:w="550"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结果维持</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其他结果</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尚未审结</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总计</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结果维持</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其他结果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尚未审结</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67" w:hRule="atLeast"/>
          <w:jc w:val="center"/>
        </w:trPr>
        <w:tc>
          <w:tcPr>
            <w:tcW w:w="604" w:type="dxa"/>
            <w:tcBorders>
              <w:top w:val="nil"/>
              <w:left w:val="single" w:color="auto" w:sz="8" w:space="0"/>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cs="Times New Roman"/>
                <w:color w:val="000000"/>
                <w:lang w:val="en-US" w:eastAsia="zh-CN"/>
              </w:rPr>
              <w:t>1</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cs="Times New Roman"/>
                <w:color w:val="000000"/>
                <w:lang w:val="en-US" w:eastAsia="zh-CN"/>
              </w:rPr>
              <w:t>1</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cs="Times New Roman"/>
                <w:color w:val="000000"/>
                <w:lang w:val="en-US" w:eastAsia="zh-CN"/>
              </w:rPr>
              <w:t>1</w:t>
            </w:r>
          </w:p>
        </w:tc>
        <w:tc>
          <w:tcPr>
            <w:tcW w:w="65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cs="Times New Roman"/>
                <w:color w:val="000000"/>
                <w:lang w:val="en-US" w:eastAsia="zh-CN"/>
              </w:rPr>
              <w:t>3</w:t>
            </w:r>
          </w:p>
        </w:tc>
        <w:tc>
          <w:tcPr>
            <w:tcW w:w="55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cs="Times New Roman"/>
                <w:color w:val="000000"/>
                <w:lang w:val="en-US" w:eastAsia="zh-CN"/>
              </w:rPr>
              <w:t>1</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cs="Times New Roman"/>
                <w:color w:val="000000"/>
                <w:lang w:val="en-US" w:eastAsia="zh-CN"/>
              </w:rPr>
              <w:t>1</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eastAsia="宋体" w:cs="Times New Roman"/>
          <w:i w:val="0"/>
          <w:caps w:val="0"/>
          <w:color w:val="333333"/>
          <w:spacing w:val="0"/>
          <w:sz w:val="24"/>
          <w:szCs w:val="24"/>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i w:val="0"/>
          <w:caps w:val="0"/>
          <w:color w:val="000000"/>
          <w:spacing w:val="0"/>
          <w:sz w:val="32"/>
          <w:szCs w:val="32"/>
          <w:shd w:val="clear" w:color="auto" w:fill="FFFFFF"/>
          <w:lang w:val="en-US" w:eastAsia="zh-CN"/>
        </w:rPr>
      </w:pPr>
      <w:bookmarkStart w:id="0" w:name="_GoBack"/>
      <w:bookmarkEnd w:id="0"/>
      <w:r>
        <w:rPr>
          <w:rFonts w:hint="default" w:ascii="Times New Roman" w:hAnsi="Times New Roman" w:eastAsia="黑体" w:cs="Times New Roman"/>
          <w:b w:val="0"/>
          <w:bCs/>
          <w:i w:val="0"/>
          <w:caps w:val="0"/>
          <w:color w:val="000000"/>
          <w:spacing w:val="0"/>
          <w:sz w:val="32"/>
          <w:szCs w:val="32"/>
          <w:shd w:val="clear" w:color="auto" w:fill="FFFFFF"/>
          <w:lang w:eastAsia="zh-CN"/>
        </w:rPr>
        <w:t>五、</w:t>
      </w:r>
      <w:r>
        <w:rPr>
          <w:rFonts w:hint="default" w:ascii="Times New Roman" w:hAnsi="Times New Roman" w:eastAsia="黑体" w:cs="Times New Roman"/>
          <w:b w:val="0"/>
          <w:bCs/>
          <w:i w:val="0"/>
          <w:caps w:val="0"/>
          <w:color w:val="000000"/>
          <w:spacing w:val="0"/>
          <w:sz w:val="32"/>
          <w:szCs w:val="32"/>
          <w:shd w:val="clear" w:color="auto" w:fill="FFFFFF"/>
        </w:rPr>
        <w:t>存在的主要问题及改进情况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i w:val="0"/>
          <w:caps w:val="0"/>
          <w:color w:val="000000"/>
          <w:spacing w:val="0"/>
          <w:sz w:val="32"/>
          <w:szCs w:val="32"/>
          <w:shd w:val="clear" w:color="auto" w:fill="FFFFFF"/>
          <w:lang w:val="en-US" w:eastAsia="zh-CN"/>
        </w:rPr>
      </w:pPr>
      <w:r>
        <w:rPr>
          <w:rFonts w:hint="default" w:ascii="Times New Roman" w:hAnsi="Times New Roman" w:eastAsia="仿宋_GB2312" w:cs="Times New Roman"/>
          <w:b w:val="0"/>
          <w:bCs/>
          <w:i w:val="0"/>
          <w:caps w:val="0"/>
          <w:color w:val="000000"/>
          <w:spacing w:val="0"/>
          <w:sz w:val="32"/>
          <w:szCs w:val="32"/>
          <w:shd w:val="clear" w:color="auto" w:fill="FFFFFF"/>
          <w:lang w:val="en-US" w:eastAsia="zh-CN"/>
        </w:rPr>
        <w:t>一</w:t>
      </w:r>
      <w:r>
        <w:rPr>
          <w:rFonts w:hint="eastAsia" w:ascii="Times New Roman" w:hAnsi="Times New Roman" w:eastAsia="仿宋_GB2312" w:cs="Times New Roman"/>
          <w:b w:val="0"/>
          <w:bCs/>
          <w:i w:val="0"/>
          <w:caps w:val="0"/>
          <w:color w:val="000000"/>
          <w:spacing w:val="0"/>
          <w:sz w:val="32"/>
          <w:szCs w:val="32"/>
          <w:shd w:val="clear" w:color="auto" w:fill="FFFFFF"/>
          <w:lang w:val="en-US" w:eastAsia="zh-CN"/>
        </w:rPr>
        <w:t>是政策解读形式不够丰富，仍以文字解读为主，视频、图表等形式占比不高，解读比较单调，形象化、通俗化和运用新技术的程度有待提高</w:t>
      </w:r>
      <w:r>
        <w:rPr>
          <w:rFonts w:hint="default" w:ascii="Times New Roman" w:hAnsi="Times New Roman" w:eastAsia="仿宋_GB2312" w:cs="Times New Roman"/>
          <w:b w:val="0"/>
          <w:bCs/>
          <w:i w:val="0"/>
          <w:caps w:val="0"/>
          <w:color w:val="000000"/>
          <w:spacing w:val="0"/>
          <w:sz w:val="32"/>
          <w:szCs w:val="32"/>
          <w:shd w:val="clear" w:color="auto" w:fill="FFFFFF"/>
          <w:lang w:val="en-US" w:eastAsia="zh-CN"/>
        </w:rPr>
        <w:t>。</w:t>
      </w:r>
      <w:r>
        <w:rPr>
          <w:rFonts w:hint="eastAsia" w:ascii="Times New Roman" w:hAnsi="Times New Roman" w:eastAsia="仿宋_GB2312" w:cs="Times New Roman"/>
          <w:b w:val="0"/>
          <w:bCs/>
          <w:i w:val="0"/>
          <w:caps w:val="0"/>
          <w:color w:val="000000"/>
          <w:spacing w:val="0"/>
          <w:sz w:val="32"/>
          <w:szCs w:val="32"/>
          <w:shd w:val="clear" w:color="auto" w:fill="FFFFFF"/>
          <w:lang w:val="en-US" w:eastAsia="zh-CN"/>
        </w:rPr>
        <w:t>二是公共企事业单位及村务公开的标准化规范化程度有待加强，还未在全区各领域企事业单位以及各镇街形成普及</w:t>
      </w:r>
      <w:r>
        <w:rPr>
          <w:rFonts w:hint="default" w:ascii="Times New Roman" w:hAnsi="Times New Roman" w:eastAsia="仿宋_GB2312" w:cs="Times New Roman"/>
          <w:b w:val="0"/>
          <w:bCs/>
          <w:i w:val="0"/>
          <w:caps w:val="0"/>
          <w:color w:val="000000"/>
          <w:spacing w:val="0"/>
          <w:sz w:val="32"/>
          <w:szCs w:val="32"/>
          <w:shd w:val="clear" w:color="auto" w:fill="FFFFFF"/>
          <w:lang w:val="en-US" w:eastAsia="zh-CN"/>
        </w:rPr>
        <w:t>。</w:t>
      </w:r>
      <w:r>
        <w:rPr>
          <w:rFonts w:hint="eastAsia" w:ascii="Times New Roman" w:hAnsi="Times New Roman" w:eastAsia="仿宋_GB2312" w:cs="Times New Roman"/>
          <w:b w:val="0"/>
          <w:bCs/>
          <w:i w:val="0"/>
          <w:caps w:val="0"/>
          <w:color w:val="000000"/>
          <w:spacing w:val="0"/>
          <w:sz w:val="32"/>
          <w:szCs w:val="32"/>
          <w:shd w:val="clear" w:color="auto" w:fill="FFFFFF"/>
          <w:lang w:val="en-US" w:eastAsia="zh-CN"/>
        </w:rPr>
        <w:t>针对以上问题，区政府办公室高度重视，学习先进的同时将多元化解读设为政策文件公开的前提，督促职能部门主动提高解读质量，同时进一步加强公共企事业单位信息公开平台建设，强化村务公开试点推广，力求公共企事业单位信息公开及村务公开更加标准规范、更加惠民便民。</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default" w:ascii="Times New Roman" w:hAnsi="Times New Roman" w:eastAsia="黑体" w:cs="Times New Roman"/>
          <w:b w:val="0"/>
          <w:bCs/>
          <w:i w:val="0"/>
          <w:caps w:val="0"/>
          <w:color w:val="000000"/>
          <w:spacing w:val="0"/>
          <w:sz w:val="32"/>
          <w:szCs w:val="32"/>
          <w:shd w:val="clear" w:color="auto" w:fill="FFFFFF"/>
        </w:rPr>
      </w:pPr>
      <w:r>
        <w:rPr>
          <w:rFonts w:hint="default" w:ascii="Times New Roman" w:hAnsi="Times New Roman" w:eastAsia="黑体" w:cs="Times New Roman"/>
          <w:b w:val="0"/>
          <w:bCs/>
          <w:i w:val="0"/>
          <w:caps w:val="0"/>
          <w:color w:val="000000"/>
          <w:spacing w:val="0"/>
          <w:sz w:val="32"/>
          <w:szCs w:val="32"/>
          <w:shd w:val="clear" w:color="auto" w:fill="FFFFFF"/>
        </w:rPr>
        <w:t>六、其他需要报告的事项</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default" w:ascii="Times New Roman" w:hAnsi="Times New Roman" w:eastAsia="黑体" w:cs="Times New Roman"/>
          <w:b w:val="0"/>
          <w:bCs/>
          <w:i w:val="0"/>
          <w:caps w:val="0"/>
          <w:color w:val="000000"/>
          <w:spacing w:val="0"/>
          <w:sz w:val="32"/>
          <w:szCs w:val="32"/>
          <w:shd w:val="clear" w:color="auto" w:fill="FFFFFF"/>
          <w:lang w:eastAsia="zh-CN"/>
        </w:rPr>
      </w:pPr>
      <w:r>
        <w:rPr>
          <w:rFonts w:hint="default" w:ascii="Times New Roman" w:hAnsi="Times New Roman" w:eastAsia="仿宋_GB2312" w:cs="Times New Roman"/>
          <w:color w:val="auto"/>
          <w:sz w:val="32"/>
          <w:szCs w:val="32"/>
          <w:lang w:val="en-US" w:eastAsia="zh-CN"/>
        </w:rPr>
        <w:t>202</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年，我单位向公民、法人和其他组织提供政府信息暂未收费。</w:t>
      </w:r>
    </w:p>
    <w:sectPr>
      <w:headerReference r:id="rId3" w:type="default"/>
      <w:footerReference r:id="rId4" w:type="default"/>
      <w:pgSz w:w="11906" w:h="16838"/>
      <w:pgMar w:top="1701" w:right="1587" w:bottom="1587" w:left="1587" w:header="851" w:footer="992" w:gutter="0"/>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1F966E2-E5BB-4393-AC95-0098FF2B4716}"/>
  </w:font>
  <w:font w:name="Arial">
    <w:panose1 w:val="020B0604020202020204"/>
    <w:charset w:val="01"/>
    <w:family w:val="swiss"/>
    <w:pitch w:val="default"/>
    <w:sig w:usb0="E0002EFF" w:usb1="C000785B" w:usb2="00000009" w:usb3="00000000" w:csb0="400001FF" w:csb1="FFFF0000"/>
    <w:embedRegular r:id="rId2" w:fontKey="{447CD07D-B1BC-44BC-A56C-E50EE33ED0CF}"/>
  </w:font>
  <w:font w:name="黑体">
    <w:panose1 w:val="02010609060101010101"/>
    <w:charset w:val="86"/>
    <w:family w:val="auto"/>
    <w:pitch w:val="default"/>
    <w:sig w:usb0="800002BF" w:usb1="38CF7CFA" w:usb2="00000016" w:usb3="00000000" w:csb0="00040001" w:csb1="00000000"/>
    <w:embedRegular r:id="rId3" w:fontKey="{4D340100-0557-4006-8CC1-8AA2132D88B4}"/>
  </w:font>
  <w:font w:name="Courier New">
    <w:panose1 w:val="02070309020205020404"/>
    <w:charset w:val="01"/>
    <w:family w:val="modern"/>
    <w:pitch w:val="default"/>
    <w:sig w:usb0="E0002EFF" w:usb1="C0007843" w:usb2="00000009" w:usb3="00000000" w:csb0="400001FF" w:csb1="FFFF0000"/>
    <w:embedRegular r:id="rId4" w:fontKey="{129AAAC5-766D-47EB-867D-19F2D61FA6F8}"/>
  </w:font>
  <w:font w:name="Symbol">
    <w:panose1 w:val="05050102010706020507"/>
    <w:charset w:val="02"/>
    <w:family w:val="roman"/>
    <w:pitch w:val="default"/>
    <w:sig w:usb0="00000000" w:usb1="00000000" w:usb2="00000000" w:usb3="00000000" w:csb0="80000000" w:csb1="00000000"/>
    <w:embedRegular r:id="rId5" w:fontKey="{CEA13B79-BF24-4EE3-9484-92392BA9068B}"/>
  </w:font>
  <w:font w:name="Calibri">
    <w:panose1 w:val="020F0502020204030204"/>
    <w:charset w:val="00"/>
    <w:family w:val="swiss"/>
    <w:pitch w:val="default"/>
    <w:sig w:usb0="E4002EFF" w:usb1="C000247B" w:usb2="00000009" w:usb3="00000000" w:csb0="200001FF" w:csb1="00000000"/>
    <w:embedRegular r:id="rId6" w:fontKey="{323048F5-0A9D-44E4-A838-FC8BF5C9501E}"/>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embedRegular r:id="rId7" w:fontKey="{442D8ACF-1BF0-47A4-8625-526140614784}"/>
  </w:font>
  <w:font w:name="仿宋_GB2312">
    <w:panose1 w:val="02010609030101010101"/>
    <w:charset w:val="86"/>
    <w:family w:val="auto"/>
    <w:pitch w:val="default"/>
    <w:sig w:usb0="00000001" w:usb1="080E0000" w:usb2="00000000" w:usb3="00000000" w:csb0="00040000" w:csb1="00000000"/>
    <w:embedRegular r:id="rId8" w:fontKey="{23471E55-0E7B-4D5B-967B-7014A644E44D}"/>
  </w:font>
  <w:font w:name="楷体_GB2312">
    <w:panose1 w:val="02010609030101010101"/>
    <w:charset w:val="86"/>
    <w:family w:val="auto"/>
    <w:pitch w:val="default"/>
    <w:sig w:usb0="00000001" w:usb1="080E0000" w:usb2="00000000" w:usb3="00000000" w:csb0="00040000" w:csb1="00000000"/>
    <w:embedRegular r:id="rId9" w:fontKey="{BA9A068D-E5F6-4441-B8F5-AAC26E666871}"/>
  </w:font>
  <w:font w:name="楷体">
    <w:panose1 w:val="02010609060101010101"/>
    <w:charset w:val="86"/>
    <w:family w:val="auto"/>
    <w:pitch w:val="default"/>
    <w:sig w:usb0="800002BF" w:usb1="38CF7CFA" w:usb2="00000016" w:usb3="00000000" w:csb0="00040001" w:csb1="00000000"/>
    <w:embedRegular r:id="rId10" w:fontKey="{79D5B9D5-EA32-4188-A10F-0B6544D8C1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RiMjZlMDU5ZWY4ZTQ0MDdlYzI0MTk2ZjExZDVlZDgifQ=="/>
  </w:docVars>
  <w:rsids>
    <w:rsidRoot w:val="635E3383"/>
    <w:rsid w:val="00AB0DEA"/>
    <w:rsid w:val="00F7108D"/>
    <w:rsid w:val="010E0F80"/>
    <w:rsid w:val="016A2ED8"/>
    <w:rsid w:val="01A73559"/>
    <w:rsid w:val="02991ECE"/>
    <w:rsid w:val="032617D0"/>
    <w:rsid w:val="03633764"/>
    <w:rsid w:val="039E0825"/>
    <w:rsid w:val="03C33F93"/>
    <w:rsid w:val="06053405"/>
    <w:rsid w:val="0617433E"/>
    <w:rsid w:val="06DB74DF"/>
    <w:rsid w:val="070D3C99"/>
    <w:rsid w:val="07534909"/>
    <w:rsid w:val="079E4284"/>
    <w:rsid w:val="07CE1504"/>
    <w:rsid w:val="08AE32A1"/>
    <w:rsid w:val="08E87820"/>
    <w:rsid w:val="096B0A65"/>
    <w:rsid w:val="096B1841"/>
    <w:rsid w:val="09BF56A7"/>
    <w:rsid w:val="0A0E2BC3"/>
    <w:rsid w:val="0C3D506D"/>
    <w:rsid w:val="0CA31F45"/>
    <w:rsid w:val="0CD85DA9"/>
    <w:rsid w:val="0D7A65E4"/>
    <w:rsid w:val="0D9A4504"/>
    <w:rsid w:val="0EF9129D"/>
    <w:rsid w:val="0F486595"/>
    <w:rsid w:val="0FA551A3"/>
    <w:rsid w:val="102A4631"/>
    <w:rsid w:val="11A73F91"/>
    <w:rsid w:val="11AB070D"/>
    <w:rsid w:val="120A6AB2"/>
    <w:rsid w:val="12B342D0"/>
    <w:rsid w:val="15523F1D"/>
    <w:rsid w:val="15F71391"/>
    <w:rsid w:val="19770FA6"/>
    <w:rsid w:val="19A52B60"/>
    <w:rsid w:val="19BF411C"/>
    <w:rsid w:val="1A2838E0"/>
    <w:rsid w:val="1AB74F3E"/>
    <w:rsid w:val="1C5C505A"/>
    <w:rsid w:val="1C6C143E"/>
    <w:rsid w:val="1C7C5BF0"/>
    <w:rsid w:val="1CAA453A"/>
    <w:rsid w:val="1CC71638"/>
    <w:rsid w:val="1DE9769D"/>
    <w:rsid w:val="1DF52997"/>
    <w:rsid w:val="1EC57B6D"/>
    <w:rsid w:val="1F5C511C"/>
    <w:rsid w:val="1F9E357D"/>
    <w:rsid w:val="1FBE2E47"/>
    <w:rsid w:val="203E2D69"/>
    <w:rsid w:val="218735C3"/>
    <w:rsid w:val="238E2C24"/>
    <w:rsid w:val="248B68A3"/>
    <w:rsid w:val="24984ED1"/>
    <w:rsid w:val="258B7F7B"/>
    <w:rsid w:val="26AA24F3"/>
    <w:rsid w:val="26C36A46"/>
    <w:rsid w:val="2A8214DB"/>
    <w:rsid w:val="2AE022D4"/>
    <w:rsid w:val="2AFF09C0"/>
    <w:rsid w:val="2C8F5AC1"/>
    <w:rsid w:val="2CF70C60"/>
    <w:rsid w:val="2D416C98"/>
    <w:rsid w:val="2E30320F"/>
    <w:rsid w:val="2E937A66"/>
    <w:rsid w:val="300B07FC"/>
    <w:rsid w:val="30117445"/>
    <w:rsid w:val="30543A6E"/>
    <w:rsid w:val="31401AA5"/>
    <w:rsid w:val="314E3F3A"/>
    <w:rsid w:val="31B71247"/>
    <w:rsid w:val="31C157DD"/>
    <w:rsid w:val="32BB255D"/>
    <w:rsid w:val="34661E3C"/>
    <w:rsid w:val="34C00C5B"/>
    <w:rsid w:val="34F56523"/>
    <w:rsid w:val="35111CA9"/>
    <w:rsid w:val="352074E5"/>
    <w:rsid w:val="36BC1740"/>
    <w:rsid w:val="370F3435"/>
    <w:rsid w:val="378041CB"/>
    <w:rsid w:val="39021D50"/>
    <w:rsid w:val="39980142"/>
    <w:rsid w:val="39D755C9"/>
    <w:rsid w:val="39E70673"/>
    <w:rsid w:val="3ABB3413"/>
    <w:rsid w:val="3BE252EC"/>
    <w:rsid w:val="3BE61482"/>
    <w:rsid w:val="3CFC46E4"/>
    <w:rsid w:val="3E701B58"/>
    <w:rsid w:val="3EE23C1F"/>
    <w:rsid w:val="3F363D14"/>
    <w:rsid w:val="3F550153"/>
    <w:rsid w:val="3F612BBA"/>
    <w:rsid w:val="414C7B47"/>
    <w:rsid w:val="417B562D"/>
    <w:rsid w:val="418069E5"/>
    <w:rsid w:val="422D1C3A"/>
    <w:rsid w:val="42EC7C09"/>
    <w:rsid w:val="435C68FA"/>
    <w:rsid w:val="43FE7919"/>
    <w:rsid w:val="44197FBC"/>
    <w:rsid w:val="45082870"/>
    <w:rsid w:val="45350959"/>
    <w:rsid w:val="45512A83"/>
    <w:rsid w:val="45665CB6"/>
    <w:rsid w:val="45B56AA1"/>
    <w:rsid w:val="46484453"/>
    <w:rsid w:val="46621DFE"/>
    <w:rsid w:val="47253144"/>
    <w:rsid w:val="47B01E02"/>
    <w:rsid w:val="47E127E9"/>
    <w:rsid w:val="49207B4D"/>
    <w:rsid w:val="4A273B71"/>
    <w:rsid w:val="4AD86AD4"/>
    <w:rsid w:val="4AF9763E"/>
    <w:rsid w:val="4B49694E"/>
    <w:rsid w:val="4B795C67"/>
    <w:rsid w:val="4B8F73FA"/>
    <w:rsid w:val="4C8E400D"/>
    <w:rsid w:val="4CAF48B4"/>
    <w:rsid w:val="4E635225"/>
    <w:rsid w:val="4E7134E1"/>
    <w:rsid w:val="4E95448F"/>
    <w:rsid w:val="4EAF479B"/>
    <w:rsid w:val="4FBD0CD5"/>
    <w:rsid w:val="4FF96A93"/>
    <w:rsid w:val="50350CB0"/>
    <w:rsid w:val="50D068DA"/>
    <w:rsid w:val="51057B8F"/>
    <w:rsid w:val="51492B58"/>
    <w:rsid w:val="518B41CF"/>
    <w:rsid w:val="51E80CC2"/>
    <w:rsid w:val="51FF677E"/>
    <w:rsid w:val="52796706"/>
    <w:rsid w:val="52FC5060"/>
    <w:rsid w:val="53290125"/>
    <w:rsid w:val="540F56E8"/>
    <w:rsid w:val="542C017C"/>
    <w:rsid w:val="54D301B5"/>
    <w:rsid w:val="5504774B"/>
    <w:rsid w:val="551B7713"/>
    <w:rsid w:val="554A2906"/>
    <w:rsid w:val="560026BA"/>
    <w:rsid w:val="565474FC"/>
    <w:rsid w:val="56B60FA6"/>
    <w:rsid w:val="56DC283F"/>
    <w:rsid w:val="56E32BE8"/>
    <w:rsid w:val="57171973"/>
    <w:rsid w:val="5794116B"/>
    <w:rsid w:val="57CE4C20"/>
    <w:rsid w:val="58BB747A"/>
    <w:rsid w:val="58C21123"/>
    <w:rsid w:val="590C2A26"/>
    <w:rsid w:val="590E0D70"/>
    <w:rsid w:val="599C5E7B"/>
    <w:rsid w:val="59B66F35"/>
    <w:rsid w:val="5B120E1A"/>
    <w:rsid w:val="5BF43A4A"/>
    <w:rsid w:val="5C211D8D"/>
    <w:rsid w:val="5CDB0B14"/>
    <w:rsid w:val="5DC56D1A"/>
    <w:rsid w:val="5DE07EE6"/>
    <w:rsid w:val="5E800968"/>
    <w:rsid w:val="5F2B5AAD"/>
    <w:rsid w:val="5F527197"/>
    <w:rsid w:val="5FB3221C"/>
    <w:rsid w:val="60121309"/>
    <w:rsid w:val="61E15659"/>
    <w:rsid w:val="63521269"/>
    <w:rsid w:val="635E3383"/>
    <w:rsid w:val="63CE2828"/>
    <w:rsid w:val="6402767F"/>
    <w:rsid w:val="64587CDF"/>
    <w:rsid w:val="64A429EA"/>
    <w:rsid w:val="64F1027C"/>
    <w:rsid w:val="658F223C"/>
    <w:rsid w:val="65FC32E3"/>
    <w:rsid w:val="66245302"/>
    <w:rsid w:val="66263A23"/>
    <w:rsid w:val="666314E2"/>
    <w:rsid w:val="66CE25D9"/>
    <w:rsid w:val="673460A1"/>
    <w:rsid w:val="67C60D07"/>
    <w:rsid w:val="68B93B6C"/>
    <w:rsid w:val="6A01062E"/>
    <w:rsid w:val="6A5B0D87"/>
    <w:rsid w:val="6B1442B7"/>
    <w:rsid w:val="6B626CD3"/>
    <w:rsid w:val="6B675B51"/>
    <w:rsid w:val="6B9A0764"/>
    <w:rsid w:val="6BD5405F"/>
    <w:rsid w:val="6C620E5B"/>
    <w:rsid w:val="6CC50DC8"/>
    <w:rsid w:val="6D02152A"/>
    <w:rsid w:val="6DCE56BE"/>
    <w:rsid w:val="6E733C8F"/>
    <w:rsid w:val="6EA96245"/>
    <w:rsid w:val="6EAF0CB0"/>
    <w:rsid w:val="6EC60981"/>
    <w:rsid w:val="6F8C7DF0"/>
    <w:rsid w:val="6FC03213"/>
    <w:rsid w:val="72325C61"/>
    <w:rsid w:val="72AF6949"/>
    <w:rsid w:val="73881D19"/>
    <w:rsid w:val="73D81A09"/>
    <w:rsid w:val="73F76F95"/>
    <w:rsid w:val="74236E0D"/>
    <w:rsid w:val="74D37CE6"/>
    <w:rsid w:val="75260F3A"/>
    <w:rsid w:val="7568278E"/>
    <w:rsid w:val="75D8476E"/>
    <w:rsid w:val="75FB0473"/>
    <w:rsid w:val="7651036B"/>
    <w:rsid w:val="76AC1804"/>
    <w:rsid w:val="777024CD"/>
    <w:rsid w:val="77804897"/>
    <w:rsid w:val="77B61A07"/>
    <w:rsid w:val="78303C2F"/>
    <w:rsid w:val="78C6651B"/>
    <w:rsid w:val="78EF290F"/>
    <w:rsid w:val="7ADD11BF"/>
    <w:rsid w:val="7CC57737"/>
    <w:rsid w:val="7CE86DED"/>
    <w:rsid w:val="7D5909E6"/>
    <w:rsid w:val="7D897AFF"/>
    <w:rsid w:val="7DB232F7"/>
    <w:rsid w:val="7E4C04D6"/>
    <w:rsid w:val="7E8A14AD"/>
    <w:rsid w:val="7EB75F16"/>
    <w:rsid w:val="7F324A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7">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BodyText1I2"/>
    <w:basedOn w:val="3"/>
    <w:next w:val="5"/>
    <w:qFormat/>
    <w:uiPriority w:val="0"/>
    <w:pPr>
      <w:ind w:firstLine="420" w:firstLineChars="200"/>
    </w:pPr>
  </w:style>
  <w:style w:type="paragraph" w:customStyle="1" w:styleId="3">
    <w:name w:val="BodyTextIndent"/>
    <w:basedOn w:val="1"/>
    <w:next w:val="4"/>
    <w:qFormat/>
    <w:uiPriority w:val="0"/>
    <w:pPr>
      <w:spacing w:after="120"/>
      <w:ind w:left="420" w:leftChars="200"/>
      <w:textAlignment w:val="baseline"/>
    </w:pPr>
    <w:rPr>
      <w:rFonts w:ascii="Calibri" w:hAnsi="Calibri"/>
    </w:rPr>
  </w:style>
  <w:style w:type="paragraph" w:customStyle="1" w:styleId="4">
    <w:name w:val="NormalIndent"/>
    <w:basedOn w:val="1"/>
    <w:qFormat/>
    <w:uiPriority w:val="0"/>
    <w:pPr>
      <w:ind w:firstLine="420" w:firstLineChars="200"/>
      <w:textAlignment w:val="baseline"/>
    </w:pPr>
    <w:rPr>
      <w:rFonts w:ascii="Calibri" w:hAnsi="Calibri" w:eastAsia="仿宋"/>
      <w:sz w:val="32"/>
    </w:rPr>
  </w:style>
  <w:style w:type="paragraph" w:customStyle="1" w:styleId="5">
    <w:name w:val="BodyText1I"/>
    <w:basedOn w:val="6"/>
    <w:qFormat/>
    <w:uiPriority w:val="0"/>
    <w:pPr>
      <w:ind w:firstLine="420" w:firstLineChars="100"/>
    </w:pPr>
  </w:style>
  <w:style w:type="paragraph" w:customStyle="1" w:styleId="6">
    <w:name w:val="BodyText"/>
    <w:basedOn w:val="1"/>
    <w:next w:val="1"/>
    <w:qFormat/>
    <w:uiPriority w:val="0"/>
    <w:pPr>
      <w:spacing w:after="120"/>
      <w:textAlignment w:val="baseline"/>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2796</Words>
  <Characters>2921</Characters>
  <Lines>0</Lines>
  <Paragraphs>0</Paragraphs>
  <TotalTime>176</TotalTime>
  <ScaleCrop>false</ScaleCrop>
  <LinksUpToDate>false</LinksUpToDate>
  <CharactersWithSpaces>2923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2020-01-14T02:25:00Z</dcterms:created>
  <dc:creator>Administrator</dc:creator>
  <cp:lastModifiedBy>Administrator</cp:lastModifiedBy>
  <cp:lastPrinted>2023-01-16T03:12:00Z</cp:lastPrinted>
  <dcterms:modified xsi:type="dcterms:W3CDTF">2025-01-23T08:30:26Z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413803172_embed</vt:lpwstr>
  </property>
  <property fmtid="{D5CDD505-2E9C-101B-9397-08002B2CF9AE}" pid="4" name="ICV">
    <vt:lpwstr>7EDDD4B7650C4A10AA4FA017AF4DF098_13</vt:lpwstr>
  </property>
  <property fmtid="{D5CDD505-2E9C-101B-9397-08002B2CF9AE}" pid="5" name="KSOTemplateDocerSaveRecord">
    <vt:lpwstr>eyJoZGlkIjoiNTU0ZmIwYTQ3NzlmZGUxZmU3Zjk0M2IyZTNmM2IxNjAiLCJ1c2VySWQiOiIyNTUzMzU5ODIifQ==</vt:lpwstr>
  </property>
</Properties>
</file>