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i w:val="0"/>
          <w:caps w:val="0"/>
          <w:color w:val="333333"/>
          <w:spacing w:val="0"/>
          <w:sz w:val="44"/>
          <w:szCs w:val="44"/>
          <w:shd w:val="clear" w:color="auto" w:fill="FFFFFF"/>
          <w:lang w:eastAsia="zh-CN"/>
        </w:rPr>
      </w:pP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宿城区人民政府办公室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方正小标宋_GBK" w:cs="Times New Roman"/>
          <w:b w:val="0"/>
          <w:bCs/>
          <w:i w:val="0"/>
          <w:caps w:val="0"/>
          <w:color w:val="333333"/>
          <w:spacing w:val="0"/>
          <w:sz w:val="44"/>
          <w:szCs w:val="44"/>
        </w:rPr>
      </w:pP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20</w:t>
      </w:r>
      <w:r>
        <w:rPr>
          <w:rFonts w:hint="default" w:ascii="Times New Roman" w:hAnsi="Times New Roman" w:eastAsia="方正小标宋_GBK" w:cs="Times New Roman"/>
          <w:b w:val="0"/>
          <w:bCs/>
          <w:i w:val="0"/>
          <w:caps w:val="0"/>
          <w:color w:val="333333"/>
          <w:spacing w:val="0"/>
          <w:sz w:val="44"/>
          <w:szCs w:val="44"/>
          <w:shd w:val="clear" w:color="auto" w:fill="FFFFFF"/>
          <w:lang w:val="en-US" w:eastAsia="zh-CN"/>
        </w:rPr>
        <w:t>23</w:t>
      </w:r>
      <w:r>
        <w:rPr>
          <w:rFonts w:hint="default" w:ascii="Times New Roman" w:hAnsi="Times New Roman" w:eastAsia="方正小标宋_GBK" w:cs="Times New Roman"/>
          <w:b w:val="0"/>
          <w:bCs/>
          <w:i w:val="0"/>
          <w:caps w:val="0"/>
          <w:color w:val="333333"/>
          <w:spacing w:val="0"/>
          <w:sz w:val="44"/>
          <w:szCs w:val="44"/>
          <w:shd w:val="clear" w:color="auto" w:fill="FFFFFF"/>
          <w:lang w:eastAsia="zh-CN"/>
        </w:rPr>
        <w:t>年政府信息公开工作年度报告</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宋体" w:cs="Times New Roman"/>
          <w:b w:val="0"/>
          <w:bCs/>
          <w:i w:val="0"/>
          <w:caps w:val="0"/>
          <w:color w:val="333333"/>
          <w:spacing w:val="0"/>
          <w:sz w:val="24"/>
          <w:szCs w:val="2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根</w:t>
      </w:r>
      <w:r>
        <w:rPr>
          <w:rFonts w:hint="default" w:ascii="Times New Roman" w:hAnsi="Times New Roman" w:eastAsia="仿宋_GB2312" w:cs="Times New Roman"/>
          <w:sz w:val="32"/>
          <w:szCs w:val="32"/>
        </w:rPr>
        <w:t>据《中华人民共和国政府信息公开条例》（以下简称《条例》）以及国务院和省、市相关文件规定，现公布宿迁市宿城区人民政府办公室20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年政府信息公开工作年度报告。本年报所列数据的统计期限自20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年1月1日起至20</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年12月31日止。如对年报有任何疑问，请与宿城区</w:t>
      </w:r>
      <w:r>
        <w:rPr>
          <w:rFonts w:hint="default" w:ascii="Times New Roman" w:hAnsi="Times New Roman" w:eastAsia="仿宋_GB2312" w:cs="Times New Roman"/>
          <w:sz w:val="32"/>
          <w:szCs w:val="32"/>
          <w:lang w:eastAsia="zh-CN"/>
        </w:rPr>
        <w:t>人民</w:t>
      </w:r>
      <w:r>
        <w:rPr>
          <w:rFonts w:hint="default" w:ascii="Times New Roman" w:hAnsi="Times New Roman" w:eastAsia="仿宋_GB2312" w:cs="Times New Roman"/>
          <w:sz w:val="32"/>
          <w:szCs w:val="32"/>
        </w:rPr>
        <w:t>政府办公室</w:t>
      </w:r>
      <w:r>
        <w:rPr>
          <w:rFonts w:hint="default" w:ascii="Times New Roman" w:hAnsi="Times New Roman" w:eastAsia="仿宋_GB2312" w:cs="Times New Roman"/>
          <w:sz w:val="32"/>
          <w:szCs w:val="32"/>
          <w:lang w:eastAsia="zh-CN"/>
        </w:rPr>
        <w:t>政务公开</w:t>
      </w:r>
      <w:r>
        <w:rPr>
          <w:rFonts w:hint="default" w:ascii="Times New Roman" w:hAnsi="Times New Roman" w:eastAsia="仿宋_GB2312" w:cs="Times New Roman"/>
          <w:sz w:val="32"/>
          <w:szCs w:val="32"/>
        </w:rPr>
        <w:t>科联系（地址：宿迁市宿城区成子湖路</w:t>
      </w:r>
      <w:r>
        <w:rPr>
          <w:rFonts w:hint="default" w:ascii="Times New Roman" w:hAnsi="Times New Roman" w:eastAsia="仿宋_GB2312" w:cs="Times New Roman"/>
          <w:sz w:val="32"/>
          <w:szCs w:val="32"/>
          <w:lang w:eastAsia="zh-CN"/>
        </w:rPr>
        <w:t>6</w:t>
      </w:r>
      <w:r>
        <w:rPr>
          <w:rFonts w:hint="default" w:ascii="Times New Roman" w:hAnsi="Times New Roman" w:eastAsia="仿宋_GB2312" w:cs="Times New Roman"/>
          <w:sz w:val="32"/>
          <w:szCs w:val="32"/>
        </w:rPr>
        <w:t>号，邮编：223800 ，电话：0527</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82960096，电子邮箱：scqxxgk@163.com）。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黑体" w:cs="Times New Roman"/>
          <w:b w:val="0"/>
          <w:bCs/>
          <w:i w:val="0"/>
          <w:caps w:val="0"/>
          <w:color w:val="000000"/>
          <w:spacing w:val="0"/>
          <w:sz w:val="32"/>
          <w:szCs w:val="32"/>
        </w:rPr>
      </w:pPr>
      <w:r>
        <w:rPr>
          <w:rFonts w:hint="default" w:ascii="Times New Roman" w:hAnsi="Times New Roman" w:eastAsia="黑体" w:cs="Times New Roman"/>
          <w:b w:val="0"/>
          <w:bCs/>
          <w:i w:val="0"/>
          <w:caps w:val="0"/>
          <w:color w:val="000000"/>
          <w:spacing w:val="0"/>
          <w:sz w:val="32"/>
          <w:szCs w:val="32"/>
          <w:shd w:val="clear" w:color="auto" w:fill="FFFFFF"/>
        </w:rPr>
        <w:t>一、总体情况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年宿城区政府办严格执行《条例》内容，秉持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优质公开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理念，认真贯彻落实国务院和省、市政府信息公开工作要求，</w:t>
      </w:r>
      <w:r>
        <w:rPr>
          <w:rFonts w:hint="default" w:ascii="Times New Roman" w:hAnsi="Times New Roman" w:eastAsia="仿宋_GB2312" w:cs="Times New Roman"/>
          <w:color w:val="auto"/>
          <w:sz w:val="32"/>
          <w:szCs w:val="32"/>
          <w:lang w:eastAsia="zh-CN"/>
        </w:rPr>
        <w:t>紧紧围绕区委、区政府中心工作和群众期盼，坚持“以公开为常态、不公开为例外”原则，突出为民公开、精准公开、规范公开工作导向，运用政府信息公开标准化建设工作成果，全力推进基层政务公开与村务公开协同发展工作，不断拓宽公开渠道，深化公开内涵、优化公开质效。</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auto"/>
          <w:sz w:val="32"/>
          <w:szCs w:val="32"/>
          <w:lang w:eastAsia="zh-CN"/>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（一）政府信息主动公开更加标准化、政策解读更加多元化。</w:t>
      </w:r>
      <w:r>
        <w:rPr>
          <w:rFonts w:hint="default" w:ascii="Times New Roman" w:hAnsi="Times New Roman" w:eastAsia="仿宋_GB2312" w:cs="Times New Roman"/>
          <w:color w:val="auto"/>
          <w:sz w:val="32"/>
          <w:szCs w:val="32"/>
          <w:lang w:eastAsia="zh-CN"/>
        </w:rPr>
        <w:t>对照最新的政府权力事项清单及行政许可事项清单，指导全区各单位、各镇街完善政府信息主动公开标准目录、基层政务公开标准目录、面向村居公开事项清单，及时更新依申请公开目录、不予公开标准目录。通过政府门户网站、政务新媒体等多载体推动政策解读形式更加多元化，例如通过一图读懂、动画动漫等形式，推进政策解读多样化、形象化、立体化。20</w:t>
      </w:r>
      <w:r>
        <w:rPr>
          <w:rFonts w:hint="default" w:ascii="Times New Roman" w:hAnsi="Times New Roman" w:eastAsia="仿宋_GB2312" w:cs="Times New Roman"/>
          <w:color w:val="auto"/>
          <w:sz w:val="32"/>
          <w:szCs w:val="32"/>
          <w:lang w:val="en-US" w:eastAsia="zh-CN"/>
        </w:rPr>
        <w:t>23</w:t>
      </w:r>
      <w:r>
        <w:rPr>
          <w:rFonts w:hint="default" w:ascii="Times New Roman" w:hAnsi="Times New Roman" w:eastAsia="仿宋_GB2312" w:cs="Times New Roman"/>
          <w:color w:val="auto"/>
          <w:sz w:val="32"/>
          <w:szCs w:val="32"/>
          <w:lang w:eastAsia="zh-CN"/>
        </w:rPr>
        <w:t>年区政府办主动公开政府信息</w:t>
      </w:r>
      <w:r>
        <w:rPr>
          <w:rFonts w:hint="default" w:ascii="Times New Roman" w:hAnsi="Times New Roman" w:eastAsia="仿宋_GB2312" w:cs="Times New Roman"/>
          <w:color w:val="auto"/>
          <w:sz w:val="32"/>
          <w:szCs w:val="32"/>
          <w:lang w:val="en-US" w:eastAsia="zh-CN"/>
        </w:rPr>
        <w:t>2677</w:t>
      </w:r>
      <w:r>
        <w:rPr>
          <w:rFonts w:hint="default" w:ascii="Times New Roman" w:hAnsi="Times New Roman" w:eastAsia="仿宋_GB2312" w:cs="Times New Roman"/>
          <w:color w:val="auto"/>
          <w:sz w:val="32"/>
          <w:szCs w:val="32"/>
          <w:lang w:eastAsia="zh-CN"/>
        </w:rPr>
        <w:t>条，其中公开指南、公开制度、公开年报等制度类信息</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条，计划总结统计类信息</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条，业务类信息</w:t>
      </w:r>
      <w:r>
        <w:rPr>
          <w:rFonts w:hint="default" w:ascii="Times New Roman" w:hAnsi="Times New Roman" w:eastAsia="仿宋_GB2312" w:cs="Times New Roman"/>
          <w:color w:val="auto"/>
          <w:sz w:val="32"/>
          <w:szCs w:val="32"/>
          <w:lang w:val="en-US" w:eastAsia="zh-CN"/>
        </w:rPr>
        <w:t>32</w:t>
      </w:r>
      <w:r>
        <w:rPr>
          <w:rFonts w:hint="default" w:ascii="Times New Roman" w:hAnsi="Times New Roman" w:eastAsia="仿宋_GB2312" w:cs="Times New Roman"/>
          <w:color w:val="auto"/>
          <w:sz w:val="32"/>
          <w:szCs w:val="32"/>
          <w:lang w:eastAsia="zh-CN"/>
        </w:rPr>
        <w:t>条，人事、机构、财政类信息</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条，政府会议、政府重点工作、政策文件类信息</w:t>
      </w:r>
      <w:r>
        <w:rPr>
          <w:rFonts w:hint="default" w:ascii="Times New Roman" w:hAnsi="Times New Roman" w:eastAsia="仿宋_GB2312" w:cs="Times New Roman"/>
          <w:color w:val="auto"/>
          <w:sz w:val="32"/>
          <w:szCs w:val="32"/>
          <w:lang w:val="en-US" w:eastAsia="zh-CN"/>
        </w:rPr>
        <w:t>94</w:t>
      </w:r>
      <w:r>
        <w:rPr>
          <w:rFonts w:hint="default" w:ascii="Times New Roman" w:hAnsi="Times New Roman" w:eastAsia="仿宋_GB2312" w:cs="Times New Roman"/>
          <w:color w:val="auto"/>
          <w:sz w:val="32"/>
          <w:szCs w:val="32"/>
          <w:lang w:eastAsia="zh-CN"/>
        </w:rPr>
        <w:t>条，重大项目、应急管理、政府采购、民生公益、征收补偿类信息</w:t>
      </w:r>
      <w:r>
        <w:rPr>
          <w:rFonts w:hint="default" w:ascii="Times New Roman" w:hAnsi="Times New Roman" w:eastAsia="仿宋_GB2312" w:cs="Times New Roman"/>
          <w:color w:val="auto"/>
          <w:sz w:val="32"/>
          <w:szCs w:val="32"/>
          <w:lang w:val="en-US" w:eastAsia="zh-CN"/>
        </w:rPr>
        <w:t>2473条，政策解读类</w:t>
      </w:r>
      <w:r>
        <w:rPr>
          <w:rFonts w:hint="default" w:ascii="Times New Roman" w:hAnsi="Times New Roman" w:eastAsia="仿宋_GB2312" w:cs="Times New Roman"/>
          <w:color w:val="auto"/>
          <w:sz w:val="32"/>
          <w:szCs w:val="32"/>
          <w:lang w:eastAsia="zh-CN"/>
        </w:rPr>
        <w:t>信息</w:t>
      </w:r>
      <w:r>
        <w:rPr>
          <w:rFonts w:hint="default" w:ascii="Times New Roman" w:hAnsi="Times New Roman" w:eastAsia="仿宋_GB2312" w:cs="Times New Roman"/>
          <w:color w:val="auto"/>
          <w:sz w:val="32"/>
          <w:szCs w:val="32"/>
          <w:lang w:val="en-US" w:eastAsia="zh-CN"/>
        </w:rPr>
        <w:t>55</w:t>
      </w:r>
      <w:r>
        <w:rPr>
          <w:rFonts w:hint="default" w:ascii="Times New Roman" w:hAnsi="Times New Roman" w:eastAsia="仿宋_GB2312" w:cs="Times New Roman"/>
          <w:color w:val="auto"/>
          <w:sz w:val="32"/>
          <w:szCs w:val="32"/>
          <w:lang w:eastAsia="zh-CN"/>
        </w:rPr>
        <w:t>条，其中</w:t>
      </w:r>
      <w:r>
        <w:rPr>
          <w:rFonts w:hint="default" w:ascii="Times New Roman" w:hAnsi="Times New Roman" w:eastAsia="仿宋_GB2312" w:cs="Times New Roman"/>
          <w:color w:val="auto"/>
          <w:sz w:val="32"/>
          <w:szCs w:val="32"/>
          <w:lang w:val="en-US" w:eastAsia="zh-CN"/>
        </w:rPr>
        <w:t>视频解读3次，图文、图表式政策解读32次 ,“政策‘好’知道”特色专栏，转载发布上级重要政策信息13条，实现重点政策文件解读率100%，政策解读关联率达到100%，让群众对政策文件“找得到、看得懂、用得上”</w:t>
      </w:r>
      <w:r>
        <w:rPr>
          <w:rFonts w:hint="default" w:ascii="Times New Roman" w:hAnsi="Times New Roman" w:eastAsia="仿宋_GB2312" w:cs="Times New Roman"/>
          <w:color w:val="auto"/>
          <w:sz w:val="32"/>
          <w:szCs w:val="32"/>
          <w:lang w:eastAsia="zh-CN"/>
        </w:rPr>
        <w:t>。</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楷体_GB2312" w:cs="Times New Roman"/>
          <w:b w:val="0"/>
          <w:bCs/>
          <w:i w:val="0"/>
          <w:caps w:val="0"/>
          <w:color w:val="000000"/>
          <w:spacing w:val="0"/>
          <w:sz w:val="32"/>
          <w:szCs w:val="32"/>
          <w:shd w:val="clear" w:color="auto" w:fill="FFFFFF"/>
          <w:lang w:val="en-US" w:eastAsia="zh-CN"/>
        </w:rPr>
        <w:t>二</w:t>
      </w:r>
      <w:r>
        <w:rPr>
          <w:rFonts w:hint="default" w:ascii="Times New Roman" w:hAnsi="Times New Roman" w:eastAsia="楷体_GB2312" w:cs="Times New Roman"/>
          <w:b w:val="0"/>
          <w:bCs/>
          <w:i w:val="0"/>
          <w:caps w:val="0"/>
          <w:color w:val="000000"/>
          <w:spacing w:val="0"/>
          <w:sz w:val="32"/>
          <w:szCs w:val="32"/>
          <w:shd w:val="clear" w:color="auto" w:fill="FFFFFF"/>
          <w:lang w:eastAsia="zh-CN"/>
        </w:rPr>
        <w:t>）政府信息</w:t>
      </w:r>
      <w:r>
        <w:rPr>
          <w:rFonts w:hint="default" w:ascii="Times New Roman" w:hAnsi="Times New Roman" w:eastAsia="楷体_GB2312" w:cs="Times New Roman"/>
          <w:b w:val="0"/>
          <w:bCs/>
          <w:i w:val="0"/>
          <w:caps w:val="0"/>
          <w:color w:val="000000"/>
          <w:spacing w:val="0"/>
          <w:sz w:val="32"/>
          <w:szCs w:val="32"/>
          <w:shd w:val="clear" w:color="auto" w:fill="FFFFFF"/>
          <w:lang w:val="en-US" w:eastAsia="zh-CN"/>
        </w:rPr>
        <w:t>依申请公开受理审查机制更加规范化</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color w:val="auto"/>
          <w:sz w:val="32"/>
          <w:szCs w:val="32"/>
          <w:lang w:val="en-US" w:eastAsia="zh-CN"/>
        </w:rPr>
        <w:t xml:space="preserve">通过建章立制、培训交流、监督考核等工作举措，全面提升依申请公开办理工作能力水平，稳步提升依申请公开件办理能力，切实保障人民群众依法获取政府信息权益。严格对照执行《条例》《宿迁市政府信息公开审查制度等15项制度的配套图表及文书》等文件规定，明确规范依申请公开件办理的接收、登记、审核、答复等办理全流程。2023年，区政府办和区政府共收到和办理政府信息公开申请86件（含2022年结转15件），其中当面申请3件，政府网站依申请公开平台申请31件，邮件申请 </w:t>
      </w:r>
      <w:r>
        <w:rPr>
          <w:rFonts w:hint="eastAsia" w:ascii="Times New Roman" w:hAnsi="Times New Roman" w:eastAsia="仿宋_GB2312" w:cs="Times New Roman"/>
          <w:color w:val="auto"/>
          <w:sz w:val="32"/>
          <w:szCs w:val="32"/>
          <w:lang w:val="en-US" w:eastAsia="zh-CN"/>
        </w:rPr>
        <w:t>52</w:t>
      </w:r>
      <w:bookmarkStart w:id="0" w:name="_GoBack"/>
      <w:bookmarkEnd w:id="0"/>
      <w:r>
        <w:rPr>
          <w:rFonts w:hint="default" w:ascii="Times New Roman" w:hAnsi="Times New Roman" w:eastAsia="仿宋_GB2312" w:cs="Times New Roman"/>
          <w:color w:val="auto"/>
          <w:sz w:val="32"/>
          <w:szCs w:val="32"/>
          <w:lang w:val="en-US" w:eastAsia="zh-CN"/>
        </w:rPr>
        <w:t>件。申请公开的政府信息中65件属于征收补偿和土地增减挂钩领域，占比为75.58%，其他领域21件。其中予以公开1件，部分公开29件，本机关不掌握相关政府信息24件，没有现成信息需要另行制作16件，信访举报投诉类申请1件，申请人无正当理由逾期不补正2件，撤销申请8件，村（居）务信息1件，转接下年度继续办理4件。</w:t>
      </w:r>
    </w:p>
    <w:p>
      <w:pPr>
        <w:pStyle w:val="1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楷体_GB2312" w:cs="Times New Roman"/>
          <w:b w:val="0"/>
          <w:bCs/>
          <w:i w:val="0"/>
          <w:caps w:val="0"/>
          <w:color w:val="FF0000"/>
          <w:spacing w:val="0"/>
          <w:sz w:val="32"/>
          <w:szCs w:val="32"/>
          <w:shd w:val="clear" w:color="auto" w:fill="FFFFFF"/>
          <w:lang w:val="en-US" w:eastAsia="zh-CN"/>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（三）</w:t>
      </w:r>
      <w:r>
        <w:rPr>
          <w:rFonts w:hint="default" w:ascii="Times New Roman" w:hAnsi="Times New Roman" w:eastAsia="楷体_GB2312" w:cs="Times New Roman"/>
          <w:b w:val="0"/>
          <w:bCs/>
          <w:i w:val="0"/>
          <w:caps w:val="0"/>
          <w:color w:val="000000"/>
          <w:spacing w:val="0"/>
          <w:sz w:val="32"/>
          <w:szCs w:val="32"/>
          <w:shd w:val="clear" w:color="auto" w:fill="FFFFFF"/>
          <w:lang w:val="en-US" w:eastAsia="zh-CN"/>
        </w:rPr>
        <w:t>政务公开工作培训更加多样化</w:t>
      </w:r>
      <w:r>
        <w:rPr>
          <w:rFonts w:hint="default" w:ascii="Times New Roman" w:hAnsi="Times New Roman" w:eastAsia="楷体_GB2312" w:cs="Times New Roman"/>
          <w:b w:val="0"/>
          <w:bCs/>
          <w:i w:val="0"/>
          <w:caps w:val="0"/>
          <w:color w:val="000000"/>
          <w:spacing w:val="0"/>
          <w:sz w:val="32"/>
          <w:szCs w:val="32"/>
          <w:shd w:val="clear" w:color="auto" w:fill="FFFFFF"/>
          <w:lang w:eastAsia="zh-CN"/>
        </w:rPr>
        <w:t>。</w:t>
      </w:r>
      <w:r>
        <w:rPr>
          <w:rFonts w:hint="default" w:ascii="Times New Roman" w:hAnsi="Times New Roman" w:eastAsia="仿宋_GB2312" w:cs="Times New Roman"/>
          <w:sz w:val="32"/>
          <w:szCs w:val="32"/>
          <w:lang w:val="en-US" w:eastAsia="zh-CN"/>
        </w:rPr>
        <w:t>针对性选取课程、精心挑选授课老师、运用灵活多样的授课方式，采用实地观摩学习与课堂业务培训、互动交流相结合等多元化方式，让政务公开工作更加入脑入心。注重政务公开责任人业务能力，通过不定期开展政府信息公开依申请公开业务培训，从政府信息公开条例、办理流程、注意事项等角度，对各部门、各镇街的具体工作人员或科室负责人进行业务知识再培训。日常工作中，建立政务公开业务工作群，发布政府信息主动公开内容更新要求，及时分享依申请办理的典型案例和注意事项，加强单位间的业务交流，提升</w:t>
      </w:r>
      <w:r>
        <w:rPr>
          <w:rFonts w:hint="default" w:ascii="Times New Roman" w:hAnsi="Times New Roman" w:eastAsia="仿宋_GB2312" w:cs="Times New Roman"/>
          <w:color w:val="auto"/>
          <w:sz w:val="32"/>
          <w:szCs w:val="32"/>
          <w:lang w:val="en-US" w:eastAsia="zh-CN"/>
        </w:rPr>
        <w:t>各单位政府信息主动公开和依申请公开办理的规范化</w:t>
      </w:r>
      <w:r>
        <w:rPr>
          <w:rFonts w:hint="default" w:ascii="Times New Roman" w:hAnsi="Times New Roman" w:eastAsia="仿宋_GB2312" w:cs="Times New Roman"/>
          <w:sz w:val="32"/>
          <w:szCs w:val="32"/>
          <w:lang w:val="en-US" w:eastAsia="zh-CN"/>
        </w:rPr>
        <w:t>。全年共组织全区专题培训1次，业务知识再培训60余次</w:t>
      </w:r>
      <w:r>
        <w:rPr>
          <w:rFonts w:hint="default" w:ascii="Times New Roman" w:hAnsi="Times New Roman" w:eastAsia="仿宋_GB2312" w:cs="Times New Roman"/>
          <w:color w:val="auto"/>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（四）政务公开平台建设更加智能化。</w:t>
      </w:r>
      <w:r>
        <w:rPr>
          <w:rFonts w:hint="default" w:ascii="Times New Roman" w:hAnsi="Times New Roman" w:eastAsia="仿宋_GB2312" w:cs="Times New Roman"/>
          <w:kern w:val="0"/>
          <w:sz w:val="32"/>
          <w:szCs w:val="32"/>
          <w:lang w:val="en-US" w:eastAsia="zh-CN" w:bidi="ar"/>
        </w:rPr>
        <w:t>根据推进政务“五公开”要求，持续深化改革，着力搭建线上线下相融合的“政务服务+政务公开”模式，不断拓宽多元化的政务公开渠道，构建多维度政务公开平台体系。完善区级政务公开专区建设，强化政务公开专区应用，升级提升互联网+政务公开专区、24小时自助服务区、自助申请区等，及时更新专区放置的政府信息，打造群众家门口的政务公开窗口，真正让信息多跑路，群众少跑腿。持续推动政务公开平台向镇街、村居社区全覆盖，15个镇街以区级政务公开专区为样板，打造自己的政务公开专区、政务公开小广场、乡贤解读政策点等，并设立政府信息公开查询点、依申请公开受理点、自助办事服务区，同时配备专用的电子触摸屏、自助查询机、电脑等设施设备，向群众提供全方位、立体式的政务信息和政务服务资源。在政府门户网站开设“智能问答”专栏，为群众提供7×24小时网站群全部信息的智能问答服务，让群众获得便捷的、智能的、即时的、互动式的自助服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（五）村（居）务信息获取更加便民化。</w:t>
      </w:r>
      <w:r>
        <w:rPr>
          <w:rFonts w:hint="default" w:ascii="Times New Roman" w:hAnsi="Times New Roman" w:eastAsia="仿宋_GB2312" w:cs="Times New Roman"/>
          <w:kern w:val="0"/>
          <w:sz w:val="32"/>
          <w:szCs w:val="32"/>
          <w:lang w:val="en-US" w:eastAsia="zh-CN" w:bidi="ar"/>
        </w:rPr>
        <w:t>宿城区自启动基层政务公开标准化、规范化建设以来，积极推动基层政务公开向农村社区延伸，为探索基层政务公开与村务公开协同发展奠定了基础。成功获批基层政务公开与村务公开协同发展市标准化试点项目，成为2023年全市政务公开领域唯一。2023年依托镇街政府档案室和便民服务中心政务公开专区，参照政府信息公开集中查阅专区建设模式，宿城区蔡集镇政府、中扬镇政府、项里街道办率先试点建设村（居）务信息公开集中查阅专区。重点解决“村（居）信息易遗失、难保存”和村民查阅信息“门难进、脸难看”的问题。形成提级监管流程。由职能部门设计相关村务信息的公开标准文本，村居整理（往年村务信息）制定村务信息、乡镇街道监督公开情况和推动归档管理，部门、乡镇、村居三方联动，规范化公开归集村务信息，减少信息遗失。宿城区在乡镇街道档案馆建设村（居）务信息公开集中查询专区，遵循群众查阅习惯，按照年份、类别等标签陈列村务信息，实现村（居）务信息便捷查询。同时设计规范管理制度，依据《</w:t>
      </w:r>
      <w:r>
        <w:rPr>
          <w:rFonts w:hint="eastAsia" w:ascii="Times New Roman" w:hAnsi="Times New Roman" w:eastAsia="仿宋_GB2312" w:cs="Times New Roman"/>
          <w:kern w:val="0"/>
          <w:sz w:val="32"/>
          <w:szCs w:val="32"/>
          <w:lang w:val="en-US" w:eastAsia="zh-CN" w:bidi="ar"/>
        </w:rPr>
        <w:t>中华人民共和国</w:t>
      </w:r>
      <w:r>
        <w:rPr>
          <w:rFonts w:hint="default" w:ascii="Times New Roman" w:hAnsi="Times New Roman" w:eastAsia="仿宋_GB2312" w:cs="Times New Roman"/>
          <w:kern w:val="0"/>
          <w:sz w:val="32"/>
          <w:szCs w:val="32"/>
          <w:lang w:val="en-US" w:eastAsia="zh-CN" w:bidi="ar"/>
        </w:rPr>
        <w:t>档案法》建立村（居）信息查询、保管、保密及动态更新系列制度，在各便民服务中心政务公开专区设置宣传指引和引导员，村民携带身份证明材料做好登记核验，专区管理员按照村民身份登记信息和查询要求，将相关村居的村务信息从档案室提出供村民查阅。既保护了村务信息相对于非集体组织成员外的隐私性，也保障了村民获取信息的权利，一定程度上化解了部分基层矛盾。</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楷体_GB2312" w:cs="Times New Roman"/>
          <w:b w:val="0"/>
          <w:bCs/>
          <w:i w:val="0"/>
          <w:caps w:val="0"/>
          <w:color w:val="000000"/>
          <w:spacing w:val="0"/>
          <w:sz w:val="32"/>
          <w:szCs w:val="32"/>
          <w:shd w:val="clear" w:color="auto" w:fill="FFFFFF"/>
          <w:lang w:eastAsia="zh-CN"/>
        </w:rPr>
        <w:t>（六）政务公开督查考核工作更加常态化。</w:t>
      </w:r>
      <w:r>
        <w:rPr>
          <w:rFonts w:hint="default" w:ascii="Times New Roman" w:hAnsi="Times New Roman" w:eastAsia="仿宋_GB2312" w:cs="Times New Roman"/>
          <w:kern w:val="2"/>
          <w:sz w:val="32"/>
          <w:szCs w:val="32"/>
          <w:lang w:val="en-US" w:eastAsia="zh-CN" w:bidi="ar-SA"/>
        </w:rPr>
        <w:t>强化日常考核导向，对各单位执行政府信息公开三审及登记报送制度执行情况进行严格监督，每月审查各单位政府信息公开情况，督促各单位政府信息做好移交档案馆政府信息查阅中心工作，全年共审核各单位报表600余份。日常工作中严格查找各单位公开政府信息内容错误、属性认定错误、应公开未公开等情况，发现问题及时督促整改并通报批评。加强一线督查推进，全年抽检检查推进各单位政务公开工作50余次，实现全覆盖。严格抓好依申请公开办理审核监管，建立起全环节的审核机制，明确要求各单位严格履行依申请公开件报备制度，拟定的答复书必须经区政府办公室审核后才可答复申请人。对于违反上述规定造成信息公开复议纠错、诉讼败诉的单位进行全区通报批评，且年底考核此项工作不得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rPr>
      </w:pPr>
      <w:r>
        <w:rPr>
          <w:rFonts w:hint="default" w:ascii="Times New Roman" w:hAnsi="Times New Roman" w:eastAsia="黑体" w:cs="Times New Roman"/>
          <w:b w:val="0"/>
          <w:bCs/>
          <w:i w:val="0"/>
          <w:caps w:val="0"/>
          <w:color w:val="000000"/>
          <w:spacing w:val="0"/>
          <w:sz w:val="32"/>
          <w:szCs w:val="32"/>
          <w:shd w:val="clear" w:color="auto" w:fill="FFFFFF"/>
        </w:rPr>
        <w:t>二、主动公开政府信息情况</w:t>
      </w:r>
    </w:p>
    <w:tbl>
      <w:tblPr>
        <w:tblStyle w:val="11"/>
        <w:tblW w:w="8760" w:type="dxa"/>
        <w:jc w:val="center"/>
        <w:tblLayout w:type="fixed"/>
        <w:tblCellMar>
          <w:top w:w="15" w:type="dxa"/>
          <w:left w:w="15" w:type="dxa"/>
          <w:bottom w:w="15" w:type="dxa"/>
          <w:right w:w="15" w:type="dxa"/>
        </w:tblCellMar>
      </w:tblPr>
      <w:tblGrid>
        <w:gridCol w:w="3416"/>
        <w:gridCol w:w="1872"/>
        <w:gridCol w:w="1584"/>
        <w:gridCol w:w="1888"/>
      </w:tblGrid>
      <w:tr>
        <w:tblPrEx>
          <w:tblCellMar>
            <w:top w:w="15" w:type="dxa"/>
            <w:left w:w="15" w:type="dxa"/>
            <w:bottom w:w="15" w:type="dxa"/>
            <w:right w:w="15" w:type="dxa"/>
          </w:tblCellMar>
        </w:tblPrEx>
        <w:trPr>
          <w:trHeight w:val="510" w:hRule="atLeast"/>
          <w:jc w:val="center"/>
        </w:trPr>
        <w:tc>
          <w:tcPr>
            <w:tcW w:w="8760" w:type="dxa"/>
            <w:gridSpan w:val="4"/>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第二十条第（一）项</w:t>
            </w:r>
          </w:p>
        </w:tc>
      </w:tr>
      <w:tr>
        <w:tblPrEx>
          <w:tblCellMar>
            <w:top w:w="15" w:type="dxa"/>
            <w:left w:w="15" w:type="dxa"/>
            <w:bottom w:w="15" w:type="dxa"/>
            <w:right w:w="15" w:type="dxa"/>
          </w:tblCellMar>
        </w:tblPrEx>
        <w:trPr>
          <w:trHeight w:val="576"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187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both"/>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rPr>
              <w:t>本年制</w:t>
            </w:r>
            <w:r>
              <w:rPr>
                <w:rFonts w:hint="default" w:ascii="Times New Roman" w:hAnsi="Times New Roman" w:eastAsia="宋体" w:cs="Times New Roman"/>
                <w:color w:val="000000"/>
                <w:kern w:val="0"/>
                <w:sz w:val="22"/>
                <w:szCs w:val="22"/>
                <w:lang w:val="en-US" w:eastAsia="zh-CN"/>
              </w:rPr>
              <w:t>发件数</w:t>
            </w:r>
          </w:p>
        </w:tc>
        <w:tc>
          <w:tcPr>
            <w:tcW w:w="158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rPr>
              <w:t>本年</w:t>
            </w:r>
            <w:r>
              <w:rPr>
                <w:rFonts w:hint="default" w:ascii="Times New Roman" w:hAnsi="Times New Roman" w:eastAsia="宋体" w:cs="Times New Roman"/>
                <w:color w:val="000000"/>
                <w:kern w:val="0"/>
                <w:sz w:val="22"/>
                <w:szCs w:val="22"/>
                <w:lang w:val="en-US" w:eastAsia="zh-CN"/>
              </w:rPr>
              <w:t>废止件数</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eastAsia="宋体" w:cs="Times New Roman"/>
                <w:color w:val="000000"/>
                <w:kern w:val="0"/>
                <w:sz w:val="22"/>
                <w:szCs w:val="22"/>
                <w:lang w:val="en-US" w:eastAsia="zh-CN"/>
              </w:rPr>
              <w:t>现行有效件数</w:t>
            </w:r>
          </w:p>
        </w:tc>
      </w:tr>
      <w:tr>
        <w:tblPrEx>
          <w:tblCellMar>
            <w:top w:w="15" w:type="dxa"/>
            <w:left w:w="15" w:type="dxa"/>
            <w:bottom w:w="15" w:type="dxa"/>
            <w:right w:w="15" w:type="dxa"/>
          </w:tblCellMar>
        </w:tblPrEx>
        <w:trPr>
          <w:trHeight w:val="399"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规章</w:t>
            </w:r>
          </w:p>
        </w:tc>
        <w:tc>
          <w:tcPr>
            <w:tcW w:w="187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c>
          <w:tcPr>
            <w:tcW w:w="158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395"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规范性文件</w:t>
            </w:r>
          </w:p>
        </w:tc>
        <w:tc>
          <w:tcPr>
            <w:tcW w:w="187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1</w:t>
            </w:r>
          </w:p>
        </w:tc>
        <w:tc>
          <w:tcPr>
            <w:tcW w:w="158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6</w:t>
            </w:r>
          </w:p>
        </w:tc>
        <w:tc>
          <w:tcPr>
            <w:tcW w:w="1888"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5</w:t>
            </w:r>
          </w:p>
        </w:tc>
      </w:tr>
      <w:tr>
        <w:tblPrEx>
          <w:tblCellMar>
            <w:top w:w="15" w:type="dxa"/>
            <w:left w:w="15" w:type="dxa"/>
            <w:bottom w:w="15" w:type="dxa"/>
            <w:right w:w="15" w:type="dxa"/>
          </w:tblCellMar>
        </w:tblPrEx>
        <w:trPr>
          <w:trHeight w:val="548"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第二十条第（五）项</w:t>
            </w:r>
          </w:p>
        </w:tc>
      </w:tr>
      <w:tr>
        <w:tblPrEx>
          <w:tblCellMar>
            <w:top w:w="15" w:type="dxa"/>
            <w:left w:w="15" w:type="dxa"/>
            <w:bottom w:w="15" w:type="dxa"/>
            <w:right w:w="15" w:type="dxa"/>
          </w:tblCellMar>
        </w:tblPrEx>
        <w:trPr>
          <w:trHeight w:val="50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eastAsia="宋体" w:cs="Times New Roman"/>
                <w:color w:val="000000"/>
                <w:kern w:val="0"/>
                <w:sz w:val="22"/>
                <w:szCs w:val="22"/>
                <w:lang w:val="en-US" w:eastAsia="zh-CN"/>
              </w:rPr>
              <w:t>本年处理决定数量</w:t>
            </w:r>
          </w:p>
        </w:tc>
      </w:tr>
      <w:tr>
        <w:tblPrEx>
          <w:tblCellMar>
            <w:top w:w="15" w:type="dxa"/>
            <w:left w:w="15" w:type="dxa"/>
            <w:bottom w:w="15" w:type="dxa"/>
            <w:right w:w="15" w:type="dxa"/>
          </w:tblCellMar>
        </w:tblPrEx>
        <w:trPr>
          <w:trHeight w:val="35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行政许可</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470"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第二十条第（六）项</w:t>
            </w:r>
          </w:p>
        </w:tc>
      </w:tr>
      <w:tr>
        <w:tblPrEx>
          <w:tblCellMar>
            <w:top w:w="15" w:type="dxa"/>
            <w:left w:w="15" w:type="dxa"/>
            <w:bottom w:w="15" w:type="dxa"/>
            <w:right w:w="15" w:type="dxa"/>
          </w:tblCellMar>
        </w:tblPrEx>
        <w:trPr>
          <w:trHeight w:val="51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lang w:val="en-US" w:eastAsia="zh-CN"/>
              </w:rPr>
              <w:t>本年处理决定数量</w:t>
            </w:r>
          </w:p>
        </w:tc>
      </w:tr>
      <w:tr>
        <w:tblPrEx>
          <w:tblCellMar>
            <w:top w:w="15" w:type="dxa"/>
            <w:left w:w="15" w:type="dxa"/>
            <w:bottom w:w="15" w:type="dxa"/>
            <w:right w:w="15" w:type="dxa"/>
          </w:tblCellMar>
        </w:tblPrEx>
        <w:trPr>
          <w:trHeight w:val="470"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行政处罚</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507"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行政强制</w:t>
            </w:r>
          </w:p>
        </w:tc>
        <w:tc>
          <w:tcPr>
            <w:tcW w:w="5344" w:type="dxa"/>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r>
        <w:tblPrEx>
          <w:tblCellMar>
            <w:top w:w="15" w:type="dxa"/>
            <w:left w:w="15" w:type="dxa"/>
            <w:bottom w:w="15" w:type="dxa"/>
            <w:right w:w="15" w:type="dxa"/>
          </w:tblCellMar>
        </w:tblPrEx>
        <w:trPr>
          <w:trHeight w:val="569" w:hRule="atLeast"/>
          <w:jc w:val="center"/>
        </w:trPr>
        <w:tc>
          <w:tcPr>
            <w:tcW w:w="8760" w:type="dxa"/>
            <w:gridSpan w:val="4"/>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第二十条第（八）项</w:t>
            </w:r>
          </w:p>
        </w:tc>
      </w:tr>
      <w:tr>
        <w:tblPrEx>
          <w:tblCellMar>
            <w:top w:w="15" w:type="dxa"/>
            <w:left w:w="15" w:type="dxa"/>
            <w:bottom w:w="15" w:type="dxa"/>
            <w:right w:w="15" w:type="dxa"/>
          </w:tblCellMar>
        </w:tblPrEx>
        <w:trPr>
          <w:trHeight w:val="479"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信息内容</w:t>
            </w:r>
          </w:p>
        </w:tc>
        <w:tc>
          <w:tcPr>
            <w:tcW w:w="5344"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rPr>
            </w:pPr>
            <w:r>
              <w:rPr>
                <w:rFonts w:hint="default" w:ascii="Times New Roman" w:hAnsi="Times New Roman" w:eastAsia="宋体" w:cs="Times New Roman"/>
                <w:color w:val="000000"/>
                <w:kern w:val="0"/>
                <w:sz w:val="22"/>
                <w:szCs w:val="22"/>
                <w:lang w:val="en-US" w:eastAsia="zh-CN"/>
              </w:rPr>
              <w:t>本年收费金额（单位：万元）</w:t>
            </w:r>
          </w:p>
        </w:tc>
      </w:tr>
      <w:tr>
        <w:tblPrEx>
          <w:tblCellMar>
            <w:top w:w="15" w:type="dxa"/>
            <w:left w:w="15" w:type="dxa"/>
            <w:bottom w:w="15" w:type="dxa"/>
            <w:right w:w="15" w:type="dxa"/>
          </w:tblCellMar>
        </w:tblPrEx>
        <w:trPr>
          <w:trHeight w:val="758" w:hRule="atLeast"/>
          <w:jc w:val="center"/>
        </w:trPr>
        <w:tc>
          <w:tcPr>
            <w:tcW w:w="34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left"/>
              <w:textAlignment w:val="auto"/>
              <w:rPr>
                <w:rFonts w:hint="default" w:ascii="Times New Roman" w:hAnsi="Times New Roman" w:eastAsia="宋体" w:cs="Times New Roman"/>
                <w:color w:val="000000"/>
                <w:sz w:val="24"/>
                <w:szCs w:val="32"/>
              </w:rPr>
            </w:pPr>
            <w:r>
              <w:rPr>
                <w:rFonts w:hint="default" w:ascii="Times New Roman" w:hAnsi="Times New Roman" w:eastAsia="宋体" w:cs="Times New Roman"/>
                <w:color w:val="000000"/>
                <w:kern w:val="0"/>
                <w:sz w:val="22"/>
                <w:szCs w:val="22"/>
              </w:rPr>
              <w:t>行政事业性收费</w:t>
            </w:r>
          </w:p>
        </w:tc>
        <w:tc>
          <w:tcPr>
            <w:tcW w:w="5344" w:type="dxa"/>
            <w:gridSpan w:val="3"/>
            <w:tcBorders>
              <w:top w:val="nil"/>
              <w:left w:val="nil"/>
              <w:bottom w:val="single" w:color="auto" w:sz="8" w:space="0"/>
              <w:right w:val="single" w:color="000000"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N/>
              <w:bidi w:val="0"/>
              <w:spacing w:line="560" w:lineRule="exact"/>
              <w:jc w:val="center"/>
              <w:textAlignment w:val="auto"/>
              <w:rPr>
                <w:rFonts w:hint="default" w:ascii="Times New Roman" w:hAnsi="Times New Roman" w:eastAsia="宋体" w:cs="Times New Roman"/>
                <w:color w:val="000000"/>
                <w:sz w:val="24"/>
                <w:szCs w:val="32"/>
                <w:lang w:val="en-US" w:eastAsia="zh-CN"/>
              </w:rPr>
            </w:pPr>
            <w:r>
              <w:rPr>
                <w:rFonts w:hint="default" w:ascii="Times New Roman" w:hAnsi="Times New Roman" w:cs="Times New Roman"/>
                <w:color w:val="000000"/>
                <w:sz w:val="24"/>
                <w:szCs w:val="32"/>
                <w:lang w:val="en-US" w:eastAsia="zh-CN"/>
              </w:rPr>
              <w:t>0</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三、收到和处理政府信息公开申请情况</w:t>
      </w:r>
    </w:p>
    <w:tbl>
      <w:tblPr>
        <w:tblStyle w:val="11"/>
        <w:tblW w:w="8754"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618"/>
        <w:gridCol w:w="794"/>
        <w:gridCol w:w="2146"/>
        <w:gridCol w:w="814"/>
        <w:gridCol w:w="755"/>
        <w:gridCol w:w="755"/>
        <w:gridCol w:w="814"/>
        <w:gridCol w:w="1076"/>
        <w:gridCol w:w="462"/>
        <w:gridCol w:w="520"/>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3558" w:type="dxa"/>
            <w:gridSpan w:val="3"/>
            <w:vMerge w:val="restart"/>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（本列数据的勾稽关系为：第一项加第二项之和，等于第三项加第四项之和）</w:t>
            </w:r>
          </w:p>
        </w:tc>
        <w:tc>
          <w:tcPr>
            <w:tcW w:w="5196" w:type="dxa"/>
            <w:gridSpan w:val="7"/>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3558" w:type="dxa"/>
            <w:gridSpan w:val="3"/>
            <w:vMerge w:val="continue"/>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default" w:ascii="Times New Roman" w:hAnsi="Times New Roman" w:cs="Times New Roman"/>
                <w:color w:val="000000"/>
                <w:sz w:val="24"/>
                <w:szCs w:val="24"/>
              </w:rPr>
            </w:pPr>
          </w:p>
        </w:tc>
        <w:tc>
          <w:tcPr>
            <w:tcW w:w="814"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自然人</w:t>
            </w:r>
          </w:p>
        </w:tc>
        <w:tc>
          <w:tcPr>
            <w:tcW w:w="3862" w:type="dxa"/>
            <w:gridSpan w:val="5"/>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法人或其他组织</w:t>
            </w:r>
          </w:p>
        </w:tc>
        <w:tc>
          <w:tcPr>
            <w:tcW w:w="520" w:type="dxa"/>
            <w:vMerge w:val="restart"/>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855" w:hRule="atLeast"/>
        </w:trPr>
        <w:tc>
          <w:tcPr>
            <w:tcW w:w="3558" w:type="dxa"/>
            <w:gridSpan w:val="3"/>
            <w:vMerge w:val="continue"/>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default" w:ascii="Times New Roman" w:hAnsi="Times New Roman" w:cs="Times New Roman"/>
                <w:color w:val="000000"/>
                <w:sz w:val="24"/>
                <w:szCs w:val="24"/>
              </w:rPr>
            </w:pPr>
          </w:p>
        </w:tc>
        <w:tc>
          <w:tcPr>
            <w:tcW w:w="81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tabs>
                <w:tab w:val="left" w:pos="425"/>
              </w:tabs>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default" w:ascii="Times New Roman" w:hAnsi="Times New Roman" w:cs="Times New Roman"/>
                <w:color w:val="000000"/>
                <w:sz w:val="24"/>
                <w:szCs w:val="24"/>
              </w:rPr>
            </w:pP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商业企业</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科研机构</w:t>
            </w:r>
          </w:p>
        </w:tc>
        <w:tc>
          <w:tcPr>
            <w:tcW w:w="81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社会公益组织</w:t>
            </w:r>
          </w:p>
        </w:tc>
        <w:tc>
          <w:tcPr>
            <w:tcW w:w="10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法律服务机构</w:t>
            </w:r>
          </w:p>
        </w:tc>
        <w:tc>
          <w:tcPr>
            <w:tcW w:w="46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其他</w:t>
            </w:r>
          </w:p>
        </w:tc>
        <w:tc>
          <w:tcPr>
            <w:tcW w:w="520" w:type="dxa"/>
            <w:vMerge w:val="continue"/>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tabs>
                <w:tab w:val="left" w:pos="425"/>
              </w:tabs>
              <w:kinsoku/>
              <w:wordWrap/>
              <w:overflowPunct/>
              <w:topLinePunct w:val="0"/>
              <w:autoSpaceDE/>
              <w:autoSpaceDN/>
              <w:bidi w:val="0"/>
              <w:adjustRightInd/>
              <w:snapToGrid/>
              <w:spacing w:line="400" w:lineRule="exact"/>
              <w:ind w:left="0" w:leftChars="0" w:right="0" w:rightChars="0" w:firstLine="0" w:firstLineChars="0"/>
              <w:textAlignment w:val="auto"/>
              <w:outlineLvl w:val="9"/>
              <w:rPr>
                <w:rFonts w:hint="default" w:ascii="Times New Roman" w:hAnsi="Times New Roman" w:cs="Times New Roman"/>
                <w:color w:val="000000"/>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3558"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一、本年新收政府信息公开申请数量</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70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71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3558"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auto"/>
              <w:ind w:left="0" w:leftChars="0" w:right="0" w:rightChars="0" w:firstLine="0" w:firstLineChars="0"/>
              <w:jc w:val="left"/>
              <w:textAlignment w:val="auto"/>
              <w:outlineLvl w:val="9"/>
              <w:rPr>
                <w:rFonts w:hint="default" w:ascii="Times New Roman" w:hAnsi="Times New Roman" w:cs="Times New Roman"/>
                <w:color w:val="000000"/>
              </w:rPr>
            </w:pPr>
            <w:r>
              <w:rPr>
                <w:rFonts w:hint="default" w:ascii="Times New Roman" w:hAnsi="Times New Roman" w:eastAsia="宋体" w:cs="Times New Roman"/>
                <w:color w:val="000000"/>
                <w:kern w:val="0"/>
                <w:sz w:val="20"/>
                <w:szCs w:val="20"/>
                <w:lang w:val="en-US" w:eastAsia="zh-CN" w:bidi="ar-SA"/>
              </w:rPr>
              <w:t>二、上年结转政府信息公开申请数量</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15</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三、本年度办理结果</w:t>
            </w:r>
          </w:p>
        </w:tc>
        <w:tc>
          <w:tcPr>
            <w:tcW w:w="2940"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（一）予以公开</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940"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（二）部分公开（区分处理的，只计这一情形，不计其他情形）</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29</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（三）不予公开</w:t>
            </w: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1.属于国家秘密</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2.其他法律行政法规禁止公开</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3.危及“三安全一稳定”</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4.保护第三方合法权益</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5.属于三类内部事务信息</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35"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6.属于四类过程性信息</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7.属于行政执法案卷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8.属于行政查询事项</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65"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（四）无法提供</w:t>
            </w: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1.本机关不掌握相关政府信息</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23</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2.没有现成信息需要另行制作</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16</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3.补正后申请内容仍不明确</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restart"/>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（五）不予处理</w:t>
            </w: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1.信访举报投诉类申请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2.重复申请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3.要求提供公开出版物</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4.无正当理由大量反复申请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5.要求行政机关确认或重新出具已获取信息</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restart"/>
            <w:tcBorders>
              <w:top w:val="nil"/>
              <w:left w:val="nil"/>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（六）其他处理</w:t>
            </w: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1.申请人无正当理由逾期不补正、行政机关不再处理其政府信息公开申请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left w:val="nil"/>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2.申请人逾期未按收费通知要求缴纳费用、行政机关不再处理其政府信息公开申请</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snapToGrid w:val="0"/>
                <w:color w:val="000000"/>
                <w:sz w:val="32"/>
                <w:lang w:val="en-US" w:eastAsia="zh-CN" w:bidi="ar-SA"/>
              </w:rPr>
            </w:pPr>
            <w:r>
              <w:rPr>
                <w:rFonts w:hint="default" w:ascii="Times New Roman" w:hAnsi="Times New Roman" w:cs="Times New Roman"/>
                <w:color w:val="000000"/>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75"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794" w:type="dxa"/>
            <w:vMerge w:val="continue"/>
            <w:tcBorders>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14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3.其他</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lang w:val="en-US" w:eastAsia="zh-CN" w:bidi="ar-SA"/>
              </w:rPr>
              <w:t>9</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lang w:val="en-US" w:eastAsia="zh-CN" w:bidi="ar-SA"/>
              </w:rPr>
              <w:t>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360" w:hRule="atLeast"/>
        </w:trPr>
        <w:tc>
          <w:tcPr>
            <w:tcW w:w="618" w:type="dxa"/>
            <w:vMerge w:val="continue"/>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p>
        </w:tc>
        <w:tc>
          <w:tcPr>
            <w:tcW w:w="2940" w:type="dxa"/>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（七）总计</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81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lang w:val="en-US"/>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cs="Times New Roman"/>
                <w:color w:val="000000"/>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82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425" w:hRule="atLeast"/>
        </w:trPr>
        <w:tc>
          <w:tcPr>
            <w:tcW w:w="3558" w:type="dxa"/>
            <w:gridSpan w:val="3"/>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240" w:lineRule="exact"/>
              <w:ind w:left="0" w:leftChars="0" w:right="0" w:rightChars="0" w:firstLine="0" w:firstLineChars="0"/>
              <w:jc w:val="left"/>
              <w:textAlignment w:val="auto"/>
              <w:outlineLvl w:val="9"/>
              <w:rPr>
                <w:rFonts w:hint="default" w:ascii="Times New Roman" w:hAnsi="Times New Roman" w:eastAsia="宋体" w:cs="Times New Roman"/>
                <w:color w:val="000000"/>
                <w:kern w:val="0"/>
                <w:sz w:val="20"/>
                <w:szCs w:val="20"/>
                <w:lang w:val="en-US" w:eastAsia="zh-CN" w:bidi="ar-SA"/>
              </w:rPr>
            </w:pPr>
            <w:r>
              <w:rPr>
                <w:rFonts w:hint="default" w:ascii="Times New Roman" w:hAnsi="Times New Roman" w:eastAsia="宋体" w:cs="Times New Roman"/>
                <w:color w:val="000000"/>
                <w:kern w:val="0"/>
                <w:sz w:val="20"/>
                <w:szCs w:val="20"/>
                <w:lang w:val="en-US" w:eastAsia="zh-CN" w:bidi="ar-SA"/>
              </w:rPr>
              <w:t>四、结转下年度继续办理</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4</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lang w:val="en-US" w:eastAsia="zh-CN" w:bidi="ar-SA"/>
              </w:rPr>
              <w:t>0</w:t>
            </w:r>
          </w:p>
        </w:tc>
        <w:tc>
          <w:tcPr>
            <w:tcW w:w="755"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814"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1076"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462"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cs="Times New Roman"/>
                <w:color w:val="000000"/>
                <w:lang w:val="en-US" w:eastAsia="zh-CN"/>
              </w:rPr>
              <w:t>0</w:t>
            </w:r>
          </w:p>
        </w:tc>
        <w:tc>
          <w:tcPr>
            <w:tcW w:w="520" w:type="dxa"/>
            <w:tcBorders>
              <w:top w:val="nil"/>
              <w:left w:val="nil"/>
              <w:bottom w:val="single" w:color="auto" w:sz="8" w:space="0"/>
              <w:right w:val="single" w:color="auto" w:sz="8" w:space="0"/>
            </w:tcBorders>
            <w:tcMar>
              <w:top w:w="0" w:type="dxa"/>
              <w:left w:w="108" w:type="dxa"/>
              <w:bottom w:w="0"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425"/>
              </w:tabs>
              <w:kinsoku/>
              <w:wordWrap/>
              <w:overflowPunct/>
              <w:topLinePunct w:val="0"/>
              <w:autoSpaceDE/>
              <w:autoSpaceDN/>
              <w:bidi w:val="0"/>
              <w:adjustRightInd/>
              <w:snapToGrid/>
              <w:spacing w:beforeAutospacing="0" w:afterAutospacing="0" w:line="400" w:lineRule="exact"/>
              <w:ind w:left="0" w:leftChars="0" w:right="0" w:rightChars="0" w:firstLine="0" w:firstLineChars="0"/>
              <w:jc w:val="center"/>
              <w:textAlignment w:val="auto"/>
              <w:outlineLvl w:val="9"/>
              <w:rPr>
                <w:rFonts w:hint="default" w:ascii="Times New Roman" w:hAnsi="Times New Roman" w:eastAsia="仿宋_GB2312" w:cs="Times New Roman"/>
                <w:color w:val="000000"/>
                <w:kern w:val="0"/>
                <w:sz w:val="20"/>
                <w:szCs w:val="20"/>
                <w:lang w:val="en-US" w:eastAsia="zh-CN" w:bidi="ar-SA"/>
              </w:rPr>
            </w:pPr>
            <w:r>
              <w:rPr>
                <w:rFonts w:hint="default" w:ascii="Times New Roman" w:hAnsi="Times New Roman" w:eastAsia="仿宋_GB2312" w:cs="Times New Roman"/>
                <w:color w:val="000000"/>
                <w:kern w:val="0"/>
                <w:sz w:val="20"/>
                <w:szCs w:val="20"/>
                <w:lang w:val="en-US" w:eastAsia="zh-CN" w:bidi="ar-SA"/>
              </w:rPr>
              <w:t>4</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auto"/>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四、政府信息公开行政复议、行政诉讼情况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default" w:ascii="Times New Roman" w:hAnsi="Times New Roman" w:eastAsia="宋体" w:cs="Times New Roman"/>
          <w:i w:val="0"/>
          <w:caps w:val="0"/>
          <w:color w:val="333333"/>
          <w:spacing w:val="0"/>
          <w:sz w:val="24"/>
          <w:szCs w:val="24"/>
        </w:rPr>
      </w:pPr>
    </w:p>
    <w:tbl>
      <w:tblPr>
        <w:tblStyle w:val="11"/>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行政复议</w:t>
            </w:r>
          </w:p>
        </w:tc>
        <w:tc>
          <w:tcPr>
            <w:tcW w:w="5997" w:type="dxa"/>
            <w:gridSpan w:val="10"/>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总计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未经复议直接起诉</w:t>
            </w:r>
          </w:p>
        </w:tc>
        <w:tc>
          <w:tcPr>
            <w:tcW w:w="3027" w:type="dxa"/>
            <w:gridSpan w:val="5"/>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hint="default" w:ascii="Times New Roman" w:hAnsi="Times New Roman"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hint="default" w:ascii="Times New Roman" w:hAnsi="Times New Roman" w:cs="Times New Roman"/>
                <w:sz w:val="24"/>
                <w:szCs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hint="default" w:ascii="Times New Roman" w:hAnsi="Times New Roman" w:cs="Times New Roman"/>
                <w:sz w:val="24"/>
                <w:szCs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其他结果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其他结果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kern w:val="0"/>
                <w:sz w:val="20"/>
                <w:szCs w:val="20"/>
                <w:lang w:val="en-US" w:eastAsia="zh-CN" w:bidi="ar"/>
              </w:rPr>
              <w:t>尚未审结</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Times New Roman" w:hAnsi="Times New Roman" w:cs="Times New Roman"/>
              </w:rPr>
            </w:pPr>
            <w:r>
              <w:rPr>
                <w:rFonts w:hint="default" w:ascii="Times New Roman" w:hAnsi="Times New Roman" w:eastAsia="宋体" w:cs="Times New Roman"/>
                <w:color w:val="000000"/>
                <w:kern w:val="0"/>
                <w:sz w:val="20"/>
                <w:szCs w:val="20"/>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67" w:hRule="atLeast"/>
          <w:jc w:val="center"/>
        </w:trPr>
        <w:tc>
          <w:tcPr>
            <w:tcW w:w="604" w:type="dxa"/>
            <w:tcBorders>
              <w:top w:val="nil"/>
              <w:left w:val="single" w:color="auto" w:sz="8" w:space="0"/>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4"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4"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4"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58"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550"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5"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6"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c>
          <w:tcPr>
            <w:tcW w:w="606" w:type="dxa"/>
            <w:tcBorders>
              <w:top w:val="nil"/>
              <w:left w:val="nil"/>
              <w:bottom w:val="single" w:color="auto" w:sz="8" w:space="0"/>
              <w:right w:val="single" w:color="auto" w:sz="8" w:space="0"/>
            </w:tcBorders>
            <w:tcMar>
              <w:left w:w="108" w:type="dxa"/>
              <w:right w:w="108" w:type="dxa"/>
            </w:tcMar>
            <w:vAlign w:val="center"/>
          </w:tcPr>
          <w:p>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lang w:val="en-US" w:eastAsia="zh-CN"/>
              </w:rPr>
              <w:t>0</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default" w:ascii="Times New Roman" w:hAnsi="Times New Roman" w:eastAsia="宋体" w:cs="Times New Roman"/>
          <w:i w:val="0"/>
          <w:caps w:val="0"/>
          <w:color w:val="333333"/>
          <w:spacing w:val="0"/>
          <w:sz w:val="24"/>
          <w:szCs w:val="24"/>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i w:val="0"/>
          <w:caps w:val="0"/>
          <w:color w:val="000000"/>
          <w:spacing w:val="0"/>
          <w:sz w:val="32"/>
          <w:szCs w:val="32"/>
          <w:shd w:val="clear" w:color="auto" w:fill="FFFFFF"/>
          <w:lang w:val="en-US" w:eastAsia="zh-CN"/>
        </w:rPr>
      </w:pPr>
      <w:r>
        <w:rPr>
          <w:rFonts w:hint="default" w:ascii="Times New Roman" w:hAnsi="Times New Roman" w:eastAsia="黑体" w:cs="Times New Roman"/>
          <w:b w:val="0"/>
          <w:bCs/>
          <w:i w:val="0"/>
          <w:caps w:val="0"/>
          <w:color w:val="000000"/>
          <w:spacing w:val="0"/>
          <w:sz w:val="32"/>
          <w:szCs w:val="32"/>
          <w:shd w:val="clear" w:color="auto" w:fill="FFFFFF"/>
          <w:lang w:eastAsia="zh-CN"/>
        </w:rPr>
        <w:t>五、</w:t>
      </w:r>
      <w:r>
        <w:rPr>
          <w:rFonts w:hint="default" w:ascii="Times New Roman" w:hAnsi="Times New Roman" w:eastAsia="黑体" w:cs="Times New Roman"/>
          <w:b w:val="0"/>
          <w:bCs/>
          <w:i w:val="0"/>
          <w:caps w:val="0"/>
          <w:color w:val="000000"/>
          <w:spacing w:val="0"/>
          <w:sz w:val="32"/>
          <w:szCs w:val="32"/>
          <w:shd w:val="clear" w:color="auto" w:fill="FFFFFF"/>
        </w:rPr>
        <w:t>存在的主要问题及改进情况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仿宋_GB2312" w:cs="Times New Roman"/>
          <w:b w:val="0"/>
          <w:bCs/>
          <w:i w:val="0"/>
          <w:caps w:val="0"/>
          <w:color w:val="000000"/>
          <w:spacing w:val="0"/>
          <w:sz w:val="32"/>
          <w:szCs w:val="32"/>
          <w:shd w:val="clear" w:color="auto" w:fill="FFFFFF"/>
          <w:lang w:val="en-US" w:eastAsia="zh-CN"/>
        </w:rPr>
      </w:pPr>
      <w:r>
        <w:rPr>
          <w:rFonts w:hint="default" w:ascii="Times New Roman" w:hAnsi="Times New Roman" w:eastAsia="仿宋_GB2312" w:cs="Times New Roman"/>
          <w:b w:val="0"/>
          <w:bCs/>
          <w:i w:val="0"/>
          <w:caps w:val="0"/>
          <w:color w:val="000000"/>
          <w:spacing w:val="0"/>
          <w:sz w:val="32"/>
          <w:szCs w:val="32"/>
          <w:shd w:val="clear" w:color="auto" w:fill="FFFFFF"/>
          <w:lang w:val="en-US" w:eastAsia="zh-CN"/>
        </w:rPr>
        <w:t>重点领域信息公开仍需进一步细化。对此，区政府办公室聚焦诉求高发领域，继续优化政务公开、政策解读、关切回应等工作。增强重点领域政府信息公开的主动性、权威性，更好满足社会公众信息需求。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黑体" w:cs="Times New Roman"/>
          <w:b w:val="0"/>
          <w:bCs/>
          <w:i w:val="0"/>
          <w:caps w:val="0"/>
          <w:color w:val="000000"/>
          <w:spacing w:val="0"/>
          <w:sz w:val="32"/>
          <w:szCs w:val="32"/>
          <w:shd w:val="clear" w:color="auto" w:fill="FFFFFF"/>
        </w:rPr>
      </w:pPr>
      <w:r>
        <w:rPr>
          <w:rFonts w:hint="default" w:ascii="Times New Roman" w:hAnsi="Times New Roman" w:eastAsia="黑体" w:cs="Times New Roman"/>
          <w:b w:val="0"/>
          <w:bCs/>
          <w:i w:val="0"/>
          <w:caps w:val="0"/>
          <w:color w:val="000000"/>
          <w:spacing w:val="0"/>
          <w:sz w:val="32"/>
          <w:szCs w:val="32"/>
          <w:shd w:val="clear" w:color="auto" w:fill="FFFFFF"/>
        </w:rPr>
        <w:t>六、其他需要报告的事项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both"/>
        <w:textAlignment w:val="auto"/>
        <w:outlineLvl w:val="9"/>
        <w:rPr>
          <w:rFonts w:hint="default" w:ascii="Times New Roman" w:hAnsi="Times New Roman" w:eastAsia="黑体" w:cs="Times New Roman"/>
          <w:b w:val="0"/>
          <w:bCs/>
          <w:i w:val="0"/>
          <w:caps w:val="0"/>
          <w:color w:val="000000"/>
          <w:spacing w:val="0"/>
          <w:sz w:val="32"/>
          <w:szCs w:val="32"/>
          <w:shd w:val="clear" w:color="auto" w:fill="FFFFFF"/>
          <w:lang w:eastAsia="zh-CN"/>
        </w:rPr>
      </w:pPr>
      <w:r>
        <w:rPr>
          <w:rFonts w:hint="default" w:ascii="Times New Roman" w:hAnsi="Times New Roman" w:eastAsia="仿宋_GB2312" w:cs="Times New Roman"/>
          <w:color w:val="auto"/>
          <w:sz w:val="32"/>
          <w:szCs w:val="32"/>
          <w:lang w:val="en-US" w:eastAsia="zh-CN"/>
        </w:rPr>
        <w:t>2023年，我单位向公民、法人和其他组织提供政府信息暂未收费。</w:t>
      </w:r>
    </w:p>
    <w:sectPr>
      <w:headerReference r:id="rId3" w:type="default"/>
      <w:footerReference r:id="rId4" w:type="default"/>
      <w:pgSz w:w="11906" w:h="16838"/>
      <w:pgMar w:top="1701" w:right="1587" w:bottom="1587"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6BFF14-4991-436D-B20E-BC3684C97F4D}"/>
  </w:font>
  <w:font w:name="Arial">
    <w:panose1 w:val="020B0604020202020204"/>
    <w:charset w:val="01"/>
    <w:family w:val="swiss"/>
    <w:pitch w:val="default"/>
    <w:sig w:usb0="E0002EFF" w:usb1="C000785B" w:usb2="00000009" w:usb3="00000000" w:csb0="400001FF" w:csb1="FFFF0000"/>
    <w:embedRegular r:id="rId2" w:fontKey="{CA7BF39D-26CA-428D-883F-DAA53BA0FC76}"/>
  </w:font>
  <w:font w:name="黑体">
    <w:panose1 w:val="02010609060101010101"/>
    <w:charset w:val="86"/>
    <w:family w:val="auto"/>
    <w:pitch w:val="default"/>
    <w:sig w:usb0="800002BF" w:usb1="38CF7CFA" w:usb2="00000016" w:usb3="00000000" w:csb0="00040001" w:csb1="00000000"/>
    <w:embedRegular r:id="rId3" w:fontKey="{E65B23A8-60E3-42EF-959D-A2CF20816E84}"/>
  </w:font>
  <w:font w:name="Courier New">
    <w:panose1 w:val="02070309020205020404"/>
    <w:charset w:val="01"/>
    <w:family w:val="modern"/>
    <w:pitch w:val="default"/>
    <w:sig w:usb0="E0002EFF" w:usb1="C0007843" w:usb2="00000009" w:usb3="00000000" w:csb0="400001FF" w:csb1="FFFF0000"/>
    <w:embedRegular r:id="rId4" w:fontKey="{EBFFAFF1-2576-4A7E-B9A2-CE7E5037DDF7}"/>
  </w:font>
  <w:font w:name="Symbol">
    <w:panose1 w:val="05050102010706020507"/>
    <w:charset w:val="02"/>
    <w:family w:val="roman"/>
    <w:pitch w:val="default"/>
    <w:sig w:usb0="00000000" w:usb1="00000000" w:usb2="00000000" w:usb3="00000000" w:csb0="80000000" w:csb1="00000000"/>
    <w:embedRegular r:id="rId5" w:fontKey="{F17E9D59-6A3C-4474-A71F-80691EC43CE2}"/>
  </w:font>
  <w:font w:name="Calibri">
    <w:panose1 w:val="020F0502020204030204"/>
    <w:charset w:val="00"/>
    <w:family w:val="swiss"/>
    <w:pitch w:val="default"/>
    <w:sig w:usb0="E4002EFF" w:usb1="C000247B" w:usb2="00000009" w:usb3="00000000" w:csb0="200001FF" w:csb1="00000000"/>
    <w:embedRegular r:id="rId6" w:fontKey="{578F8ACA-323F-4C48-9E66-B596F49DD8E9}"/>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embedRegular r:id="rId7" w:fontKey="{22B4C910-DD4E-461F-BFDA-265670EB7EE1}"/>
  </w:font>
  <w:font w:name="仿宋_GB2312">
    <w:panose1 w:val="02010609030101010101"/>
    <w:charset w:val="86"/>
    <w:family w:val="auto"/>
    <w:pitch w:val="default"/>
    <w:sig w:usb0="00000001" w:usb1="080E0000" w:usb2="00000000" w:usb3="00000000" w:csb0="00040000" w:csb1="00000000"/>
    <w:embedRegular r:id="rId8" w:fontKey="{2C4698B2-69B8-48AB-B86D-74111ED74736}"/>
  </w:font>
  <w:font w:name="楷体_GB2312">
    <w:panose1 w:val="02010609030101010101"/>
    <w:charset w:val="86"/>
    <w:family w:val="auto"/>
    <w:pitch w:val="default"/>
    <w:sig w:usb0="00000001" w:usb1="080E0000" w:usb2="00000000" w:usb3="00000000" w:csb0="00040000" w:csb1="00000000"/>
    <w:embedRegular r:id="rId9" w:fontKey="{194A201D-063E-4179-B7CC-38B962A5C9B7}"/>
  </w:font>
  <w:font w:name="方正仿宋_GBK">
    <w:panose1 w:val="03000509000000000000"/>
    <w:charset w:val="86"/>
    <w:family w:val="script"/>
    <w:pitch w:val="default"/>
    <w:sig w:usb0="00000001" w:usb1="080E0000" w:usb2="00000000" w:usb3="00000000" w:csb0="00040000" w:csb1="00000000"/>
    <w:embedRegular r:id="rId10" w:fontKey="{F13345CC-00CE-470D-A00C-C169202C3A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RiMjZlMDU5ZWY4ZTQ0MDdlYzI0MTk2ZjExZDVlZDgifQ=="/>
  </w:docVars>
  <w:rsids>
    <w:rsidRoot w:val="635E3383"/>
    <w:rsid w:val="00AB0DEA"/>
    <w:rsid w:val="00F7108D"/>
    <w:rsid w:val="010E0F80"/>
    <w:rsid w:val="016A2ED8"/>
    <w:rsid w:val="01A73559"/>
    <w:rsid w:val="02991ECE"/>
    <w:rsid w:val="032617D0"/>
    <w:rsid w:val="03633764"/>
    <w:rsid w:val="039E0825"/>
    <w:rsid w:val="03C33F93"/>
    <w:rsid w:val="06053405"/>
    <w:rsid w:val="0617433E"/>
    <w:rsid w:val="06DB74DF"/>
    <w:rsid w:val="070D3C99"/>
    <w:rsid w:val="07534909"/>
    <w:rsid w:val="079E4284"/>
    <w:rsid w:val="07CE1504"/>
    <w:rsid w:val="08AE32A1"/>
    <w:rsid w:val="08E87820"/>
    <w:rsid w:val="096B0A65"/>
    <w:rsid w:val="096B1841"/>
    <w:rsid w:val="09BF56A7"/>
    <w:rsid w:val="0A0E2BC3"/>
    <w:rsid w:val="0C3D506D"/>
    <w:rsid w:val="0CA31F45"/>
    <w:rsid w:val="0CD85DA9"/>
    <w:rsid w:val="0D7A65E4"/>
    <w:rsid w:val="0D9A4504"/>
    <w:rsid w:val="0EF9129D"/>
    <w:rsid w:val="0F486595"/>
    <w:rsid w:val="0FA551A3"/>
    <w:rsid w:val="102A4631"/>
    <w:rsid w:val="11A73F91"/>
    <w:rsid w:val="11AB070D"/>
    <w:rsid w:val="120A6AB2"/>
    <w:rsid w:val="12B342D0"/>
    <w:rsid w:val="15523F1D"/>
    <w:rsid w:val="15F71391"/>
    <w:rsid w:val="19770FA6"/>
    <w:rsid w:val="19A52B60"/>
    <w:rsid w:val="19BF411C"/>
    <w:rsid w:val="1A2838E0"/>
    <w:rsid w:val="1AB74F3E"/>
    <w:rsid w:val="1C6C143E"/>
    <w:rsid w:val="1C7C5BF0"/>
    <w:rsid w:val="1CAA453A"/>
    <w:rsid w:val="1CC71638"/>
    <w:rsid w:val="1DE9769D"/>
    <w:rsid w:val="1DF52997"/>
    <w:rsid w:val="1EC57B6D"/>
    <w:rsid w:val="1F5C511C"/>
    <w:rsid w:val="1F9E357D"/>
    <w:rsid w:val="1FBE2E47"/>
    <w:rsid w:val="203E2D69"/>
    <w:rsid w:val="218735C3"/>
    <w:rsid w:val="238E2C24"/>
    <w:rsid w:val="248B68A3"/>
    <w:rsid w:val="24984ED1"/>
    <w:rsid w:val="258B7F7B"/>
    <w:rsid w:val="26AA24F3"/>
    <w:rsid w:val="26C36A46"/>
    <w:rsid w:val="2A8214DB"/>
    <w:rsid w:val="2AE022D4"/>
    <w:rsid w:val="2AFF09C0"/>
    <w:rsid w:val="2C8F5AC1"/>
    <w:rsid w:val="2CF70C60"/>
    <w:rsid w:val="2D416C98"/>
    <w:rsid w:val="2E30320F"/>
    <w:rsid w:val="2E937A66"/>
    <w:rsid w:val="300B07FC"/>
    <w:rsid w:val="30117445"/>
    <w:rsid w:val="30543A6E"/>
    <w:rsid w:val="31401AA5"/>
    <w:rsid w:val="314E3F3A"/>
    <w:rsid w:val="31B71247"/>
    <w:rsid w:val="31C157DD"/>
    <w:rsid w:val="32BB255D"/>
    <w:rsid w:val="34661E3C"/>
    <w:rsid w:val="34C00C5B"/>
    <w:rsid w:val="34F56523"/>
    <w:rsid w:val="35111CA9"/>
    <w:rsid w:val="352074E5"/>
    <w:rsid w:val="36BC1740"/>
    <w:rsid w:val="370F3435"/>
    <w:rsid w:val="378041CB"/>
    <w:rsid w:val="39021D50"/>
    <w:rsid w:val="39980142"/>
    <w:rsid w:val="39D755C9"/>
    <w:rsid w:val="39E70673"/>
    <w:rsid w:val="3ABB3413"/>
    <w:rsid w:val="3BE252EC"/>
    <w:rsid w:val="3BE61482"/>
    <w:rsid w:val="3CFC46E4"/>
    <w:rsid w:val="3E701B58"/>
    <w:rsid w:val="3EE23C1F"/>
    <w:rsid w:val="3F363D14"/>
    <w:rsid w:val="3F550153"/>
    <w:rsid w:val="3F612BBA"/>
    <w:rsid w:val="414C7B47"/>
    <w:rsid w:val="417B562D"/>
    <w:rsid w:val="418069E5"/>
    <w:rsid w:val="422D1C3A"/>
    <w:rsid w:val="42EC7C09"/>
    <w:rsid w:val="435C68FA"/>
    <w:rsid w:val="43FE7919"/>
    <w:rsid w:val="44197FBC"/>
    <w:rsid w:val="45082870"/>
    <w:rsid w:val="45350959"/>
    <w:rsid w:val="45512A83"/>
    <w:rsid w:val="45665CB6"/>
    <w:rsid w:val="45B56AA1"/>
    <w:rsid w:val="46484453"/>
    <w:rsid w:val="46621DFE"/>
    <w:rsid w:val="47253144"/>
    <w:rsid w:val="47B01E02"/>
    <w:rsid w:val="47E127E9"/>
    <w:rsid w:val="49207B4D"/>
    <w:rsid w:val="4A273B71"/>
    <w:rsid w:val="4AD86AD4"/>
    <w:rsid w:val="4AF9763E"/>
    <w:rsid w:val="4B49694E"/>
    <w:rsid w:val="4B795C67"/>
    <w:rsid w:val="4B8F73FA"/>
    <w:rsid w:val="4C8E400D"/>
    <w:rsid w:val="4CAF48B4"/>
    <w:rsid w:val="4E635225"/>
    <w:rsid w:val="4E7134E1"/>
    <w:rsid w:val="4E95448F"/>
    <w:rsid w:val="4EAF479B"/>
    <w:rsid w:val="4FBD0CD5"/>
    <w:rsid w:val="4FF96A93"/>
    <w:rsid w:val="50350CB0"/>
    <w:rsid w:val="50D068DA"/>
    <w:rsid w:val="51057B8F"/>
    <w:rsid w:val="51492B58"/>
    <w:rsid w:val="518B41CF"/>
    <w:rsid w:val="51E80CC2"/>
    <w:rsid w:val="51FF677E"/>
    <w:rsid w:val="52796706"/>
    <w:rsid w:val="52FC5060"/>
    <w:rsid w:val="53290125"/>
    <w:rsid w:val="540F56E8"/>
    <w:rsid w:val="542C017C"/>
    <w:rsid w:val="54D301B5"/>
    <w:rsid w:val="5504774B"/>
    <w:rsid w:val="551B7713"/>
    <w:rsid w:val="554A2906"/>
    <w:rsid w:val="560026BA"/>
    <w:rsid w:val="565474FC"/>
    <w:rsid w:val="56B60FA6"/>
    <w:rsid w:val="56DC283F"/>
    <w:rsid w:val="56E32BE8"/>
    <w:rsid w:val="57171973"/>
    <w:rsid w:val="5794116B"/>
    <w:rsid w:val="57CE4C20"/>
    <w:rsid w:val="58BB747A"/>
    <w:rsid w:val="58C21123"/>
    <w:rsid w:val="590C2A26"/>
    <w:rsid w:val="590E0D70"/>
    <w:rsid w:val="599C5E7B"/>
    <w:rsid w:val="59B66F35"/>
    <w:rsid w:val="5B120E1A"/>
    <w:rsid w:val="5BF43A4A"/>
    <w:rsid w:val="5C211D8D"/>
    <w:rsid w:val="5CDB0B14"/>
    <w:rsid w:val="5DC56D1A"/>
    <w:rsid w:val="5DE07EE6"/>
    <w:rsid w:val="5F2B5AAD"/>
    <w:rsid w:val="5F527197"/>
    <w:rsid w:val="5FB3221C"/>
    <w:rsid w:val="60121309"/>
    <w:rsid w:val="61E15659"/>
    <w:rsid w:val="63521269"/>
    <w:rsid w:val="635E3383"/>
    <w:rsid w:val="63CE2828"/>
    <w:rsid w:val="6402767F"/>
    <w:rsid w:val="64587CDF"/>
    <w:rsid w:val="64A429EA"/>
    <w:rsid w:val="64F1027C"/>
    <w:rsid w:val="658F223C"/>
    <w:rsid w:val="65FC32E3"/>
    <w:rsid w:val="66245302"/>
    <w:rsid w:val="66263A23"/>
    <w:rsid w:val="666314E2"/>
    <w:rsid w:val="66CE25D9"/>
    <w:rsid w:val="673460A1"/>
    <w:rsid w:val="67C60D07"/>
    <w:rsid w:val="68B93B6C"/>
    <w:rsid w:val="6A01062E"/>
    <w:rsid w:val="6A5B0D87"/>
    <w:rsid w:val="6B1442B7"/>
    <w:rsid w:val="6B626CD3"/>
    <w:rsid w:val="6B675B51"/>
    <w:rsid w:val="6B9A0764"/>
    <w:rsid w:val="6BD5405F"/>
    <w:rsid w:val="6C620E5B"/>
    <w:rsid w:val="6CC50DC8"/>
    <w:rsid w:val="6D02152A"/>
    <w:rsid w:val="6DCE56BE"/>
    <w:rsid w:val="6E733C8F"/>
    <w:rsid w:val="6EA96245"/>
    <w:rsid w:val="6EAF0CB0"/>
    <w:rsid w:val="6EC60981"/>
    <w:rsid w:val="6F8C7DF0"/>
    <w:rsid w:val="6FC03213"/>
    <w:rsid w:val="72325C61"/>
    <w:rsid w:val="73881D19"/>
    <w:rsid w:val="73D81A09"/>
    <w:rsid w:val="73F76F95"/>
    <w:rsid w:val="74236E0D"/>
    <w:rsid w:val="74D37CE6"/>
    <w:rsid w:val="75260F3A"/>
    <w:rsid w:val="7568278E"/>
    <w:rsid w:val="75D8476E"/>
    <w:rsid w:val="75FB0473"/>
    <w:rsid w:val="7651036B"/>
    <w:rsid w:val="76AC1804"/>
    <w:rsid w:val="777024CD"/>
    <w:rsid w:val="77804897"/>
    <w:rsid w:val="77B61A07"/>
    <w:rsid w:val="78303C2F"/>
    <w:rsid w:val="78C6651B"/>
    <w:rsid w:val="78EF290F"/>
    <w:rsid w:val="7ADD11BF"/>
    <w:rsid w:val="7CC57737"/>
    <w:rsid w:val="7CE86DED"/>
    <w:rsid w:val="7D5909E6"/>
    <w:rsid w:val="7D897AFF"/>
    <w:rsid w:val="7DB232F7"/>
    <w:rsid w:val="7E4C04D6"/>
    <w:rsid w:val="7E8A14AD"/>
    <w:rsid w:val="7EB75F16"/>
    <w:rsid w:val="7F324A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7">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BodyText1I2"/>
    <w:basedOn w:val="3"/>
    <w:next w:val="5"/>
    <w:qFormat/>
    <w:uiPriority w:val="0"/>
    <w:pPr>
      <w:ind w:firstLine="420" w:firstLineChars="200"/>
    </w:pPr>
  </w:style>
  <w:style w:type="paragraph" w:customStyle="1" w:styleId="3">
    <w:name w:val="BodyTextIndent"/>
    <w:basedOn w:val="1"/>
    <w:next w:val="4"/>
    <w:qFormat/>
    <w:uiPriority w:val="0"/>
    <w:pPr>
      <w:spacing w:after="120"/>
      <w:ind w:left="420" w:leftChars="200"/>
      <w:textAlignment w:val="baseline"/>
    </w:pPr>
    <w:rPr>
      <w:rFonts w:ascii="Calibri" w:hAnsi="Calibri"/>
    </w:rPr>
  </w:style>
  <w:style w:type="paragraph" w:customStyle="1" w:styleId="4">
    <w:name w:val="NormalIndent"/>
    <w:basedOn w:val="1"/>
    <w:qFormat/>
    <w:uiPriority w:val="0"/>
    <w:pPr>
      <w:ind w:firstLine="420" w:firstLineChars="200"/>
      <w:textAlignment w:val="baseline"/>
    </w:pPr>
    <w:rPr>
      <w:rFonts w:ascii="Calibri" w:hAnsi="Calibri" w:eastAsia="仿宋"/>
      <w:sz w:val="32"/>
    </w:rPr>
  </w:style>
  <w:style w:type="paragraph" w:customStyle="1" w:styleId="5">
    <w:name w:val="BodyText1I"/>
    <w:basedOn w:val="6"/>
    <w:qFormat/>
    <w:uiPriority w:val="0"/>
    <w:pPr>
      <w:ind w:firstLine="420" w:firstLineChars="100"/>
    </w:pPr>
  </w:style>
  <w:style w:type="paragraph" w:customStyle="1" w:styleId="6">
    <w:name w:val="BodyText"/>
    <w:basedOn w:val="1"/>
    <w:next w:val="1"/>
    <w:qFormat/>
    <w:uiPriority w:val="0"/>
    <w:pPr>
      <w:spacing w:after="120"/>
      <w:textAlignment w:val="baseline"/>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3859</Words>
  <Characters>3997</Characters>
  <Lines>0</Lines>
  <Paragraphs>0</Paragraphs>
  <TotalTime>7</TotalTime>
  <ScaleCrop>false</ScaleCrop>
  <LinksUpToDate>false</LinksUpToDate>
  <CharactersWithSpaces>4000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2020-01-14T02:25:00Z</dcterms:created>
  <dc:creator>Administrator</dc:creator>
  <cp:lastModifiedBy>Administrator</cp:lastModifiedBy>
  <cp:lastPrinted>2023-01-16T03:12:00Z</cp:lastPrinted>
  <dcterms:modified xsi:type="dcterms:W3CDTF">2024-02-05T07:50:12Z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413803172_embed</vt:lpwstr>
  </property>
  <property fmtid="{D5CDD505-2E9C-101B-9397-08002B2CF9AE}" pid="4" name="ICV">
    <vt:lpwstr>7EDDD4B7650C4A10AA4FA017AF4DF098_13</vt:lpwstr>
  </property>
</Properties>
</file>