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方正大标宋简体" w:cs="Times New Roman"/>
          <w:sz w:val="44"/>
          <w:szCs w:val="44"/>
        </w:rPr>
      </w:pPr>
      <w:bookmarkStart w:id="0" w:name="_GoBack"/>
      <w:r>
        <w:rPr>
          <w:rFonts w:ascii="Times New Roman" w:hAnsi="Times New Roman" w:eastAsia="方正大标宋简体" w:cs="Times New Roman"/>
          <w:sz w:val="44"/>
          <w:szCs w:val="44"/>
        </w:rPr>
        <w:t>宿城区201</w:t>
      </w:r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8</w:t>
      </w:r>
      <w:r>
        <w:rPr>
          <w:rFonts w:ascii="Times New Roman" w:hAnsi="Times New Roman" w:eastAsia="方正大标宋简体" w:cs="Times New Roman"/>
          <w:sz w:val="44"/>
          <w:szCs w:val="44"/>
        </w:rPr>
        <w:t>年政府信息公开年度报告</w:t>
      </w:r>
    </w:p>
    <w:p>
      <w:pPr>
        <w:spacing w:line="560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宿城区人民政府</w:t>
      </w:r>
    </w:p>
    <w:p>
      <w:pPr>
        <w:spacing w:line="560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（</w:t>
      </w:r>
      <w:r>
        <w:rPr>
          <w:rFonts w:ascii="Times New Roman" w:hAnsi="Times New Roman" w:eastAsia="楷体_GB2312" w:cs="Times New Roman"/>
          <w:sz w:val="32"/>
          <w:szCs w:val="32"/>
        </w:rPr>
        <w:t>201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楷体_GB2312" w:cs="楷体_GB2312"/>
          <w:sz w:val="32"/>
          <w:szCs w:val="32"/>
        </w:rPr>
        <w:t>年</w:t>
      </w:r>
      <w:r>
        <w:rPr>
          <w:rFonts w:ascii="Times New Roman" w:hAnsi="Times New Roman" w:eastAsia="楷体_GB2312" w:cs="Times New Roman"/>
          <w:sz w:val="32"/>
          <w:szCs w:val="32"/>
        </w:rPr>
        <w:t>2</w:t>
      </w:r>
      <w:r>
        <w:rPr>
          <w:rFonts w:hint="eastAsia" w:ascii="Times New Roman" w:hAnsi="Times New Roman" w:eastAsia="楷体_GB2312" w:cs="楷体_GB2312"/>
          <w:sz w:val="32"/>
          <w:szCs w:val="32"/>
        </w:rPr>
        <w:t>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楷体_GB2312" w:cs="楷体_GB2312"/>
          <w:sz w:val="32"/>
          <w:szCs w:val="32"/>
        </w:rPr>
        <w:t>日）</w:t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根据《中华人民共和国政府信息公开条例》（以下简称《条例》）以及国务院和省、市相关文件规定，现公布宿城区201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8</w:t>
      </w:r>
      <w:r>
        <w:rPr>
          <w:rFonts w:ascii="仿宋" w:hAnsi="仿宋" w:eastAsia="仿宋" w:cs="Times New Roman"/>
          <w:sz w:val="32"/>
          <w:szCs w:val="32"/>
        </w:rPr>
        <w:t>年政府信息公开年度报告。本年报</w:t>
      </w:r>
      <w:r>
        <w:rPr>
          <w:rFonts w:ascii="Times New Roman" w:hAnsi="Times New Roman" w:eastAsia="仿宋_GB2312" w:cs="Times New Roman"/>
          <w:sz w:val="32"/>
          <w:szCs w:val="32"/>
        </w:rPr>
        <w:t>所列数据的统计期限自201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年1月1日起至201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12月31日止，由概述、主动公开政府信息情况、依申请公开政府信息情况、行政复议和行政诉讼情况、人大代表建议和政协委员提案办理结果公开情况、收费情况、存在问题及下一步工作打算等七个部分组成，电子版可在“宿城在线”（http://www.sqsc.gov.cn/）政务公开专栏下载。如对年报有任何疑问，请与宿城区政府办公室政府信息公开科联系（地址：宿迁市宿城区成子湖路1号，邮编：223800 ，电话：0527—82960096，电子邮箱：sqzhum@163.com）。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一、概  述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年，宿城区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认真贯彻落实《条例》和《关于做好三大重点领域政府信息公开工作的通知》（宿政办发〔2018〕41号）、《关于贯彻落实江苏省全面推进政务公开工作实施细则的通知》（宿政办发〔2018〕56号）、《宿迁市2018年政务公开工作要点》（宿政办发〔2018〕61号）等文件和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政务公开工作推进会的部署要求，始终坚持公开为常态、不公开为例外，着力推进决策、执行、管理、服务、结果公开（以下简称“五公开”），进一步建立健全公开制度体系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着力细化公开任务，深化政策解读，回应社会关切，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不断加大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考核力度，努力保障群众的知情权、参与权、表达权和监督权，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政务公开各项工作取得积极成效。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（一）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健全组织领导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将政务公开工作纳入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政府领导分工，明确由常务副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长分管政务公开工作并对外公布。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政府办公室加大统筹力度，围绕国家、省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关于重点领域政务公开的工作要求，制定《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宿城区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年政务公开工作要点》，逐项分解任务，明确责任单位、目标任务和工作内容，增强落实各项工作任务的针对性和操作性。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政府办公室作为全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政务公开工作主管部门，全面统筹全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政务公开组织协调、指导推进、监督检查等工作，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区相关部门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也进一步完善政务公开工作机构，明确分管领导，充实工作人员，为工作推动提供了有力保障。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（二）加强制度建设。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健全完善宿城区政府信息主动公开、政府信息依申请公开、信息公开保密审查、公开属性认定、邀请市民代表参加区政府常务会议等政府信息公开相关机制制度，逐步形成覆盖全面、要求明确、规范合理的制度体系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明确区各相关部门主要负责人为本单位“第一解读人和发言人”，要求解读材料与政策文件同步起草、同步报批、同步发布，严格按照重特大舆情5小时内发布权威信息、24小时内举行新闻发布会，一般政务舆情48小时内权威回应节点要求及时回应社会关切。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（三）强化平台支撑。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按照市政府统一安排，顺利完成区政府网站“宿城在线”后台迁移工作，统一迁移到市级技术平台。优化调整区政府信息公开主栏目以及各相关部门公开栏目，及时补录信息并实现常态化更新。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进一步规范政府信息依申请公开工作办理流程和办事指南，不断增强政务公开工作实效。</w:t>
      </w:r>
      <w:r>
        <w:rPr>
          <w:rFonts w:ascii="Times New Roman" w:hAnsi="Times New Roman" w:eastAsia="仿宋_GB2312" w:cs="Times New Roman"/>
          <w:sz w:val="32"/>
          <w:szCs w:val="32"/>
        </w:rPr>
        <w:t>区政府对出台的重大政策、改革举措，均及时向社会发布并组织解读，通过网站在线访谈、微博微信等方式回应事件和解读政策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754</w:t>
      </w:r>
      <w:r>
        <w:rPr>
          <w:rFonts w:ascii="Times New Roman" w:hAnsi="Times New Roman" w:eastAsia="仿宋_GB2312" w:cs="Times New Roman"/>
          <w:sz w:val="32"/>
          <w:szCs w:val="32"/>
        </w:rPr>
        <w:t>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回应公众关注热点或舆情数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3892</w:t>
      </w:r>
      <w:r>
        <w:rPr>
          <w:rFonts w:ascii="Times New Roman" w:hAnsi="Times New Roman" w:eastAsia="仿宋_GB2312" w:cs="Times New Roman"/>
          <w:sz w:val="32"/>
          <w:szCs w:val="32"/>
        </w:rPr>
        <w:t>次，促进了政策有效实施。</w:t>
      </w:r>
    </w:p>
    <w:p>
      <w:pPr>
        <w:spacing w:line="55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四</w:t>
      </w:r>
      <w:r>
        <w:rPr>
          <w:rFonts w:ascii="Times New Roman" w:hAnsi="Times New Roman" w:eastAsia="楷体_GB2312" w:cs="Times New Roman"/>
          <w:sz w:val="32"/>
          <w:szCs w:val="32"/>
        </w:rPr>
        <w:t>）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注重能力提升</w:t>
      </w:r>
      <w:r>
        <w:rPr>
          <w:rFonts w:ascii="Times New Roman" w:hAnsi="Times New Roman" w:eastAsia="楷体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将政务公开工作人员教育培训纳入全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干部教育培训计划和新任公务员入职培训课程，扎实推进学习教育常态化制度化。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全年召开推进会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次，政策解读、依申请公开等会办会4次，当前重点问题交办会6次，不断夯实政务公开工作基础。将政务公开纳入各部门目标考核，每月进行一次检查，每季度进行一次通报，不断增强政务公开工作人员工作的主动性和自觉性，推进全区政务公开工作深入稳步开展。</w:t>
      </w:r>
    </w:p>
    <w:p>
      <w:pPr>
        <w:spacing w:line="54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二、主动公开政府信息情况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年，全区主动公开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</w:t>
      </w:r>
      <w:r>
        <w:rPr>
          <w:rFonts w:ascii="Times New Roman" w:hAnsi="Times New Roman" w:eastAsia="仿宋_GB2312" w:cs="Times New Roman"/>
          <w:sz w:val="32"/>
          <w:szCs w:val="32"/>
        </w:rPr>
        <w:t>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21542</w:t>
      </w:r>
      <w:r>
        <w:rPr>
          <w:rFonts w:ascii="Times New Roman" w:hAnsi="Times New Roman" w:eastAsia="仿宋_GB2312" w:cs="Times New Roman"/>
          <w:sz w:val="32"/>
          <w:szCs w:val="32"/>
        </w:rPr>
        <w:t>条，其中通过网站公开政府信息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13124</w:t>
      </w:r>
      <w:r>
        <w:rPr>
          <w:rFonts w:ascii="Times New Roman" w:hAnsi="Times New Roman" w:eastAsia="仿宋_GB2312" w:cs="Times New Roman"/>
          <w:sz w:val="32"/>
          <w:szCs w:val="32"/>
        </w:rPr>
        <w:t>条，政务微信微博公开信息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5142</w:t>
      </w:r>
      <w:r>
        <w:rPr>
          <w:rFonts w:ascii="Times New Roman" w:hAnsi="Times New Roman" w:eastAsia="仿宋_GB2312" w:cs="Times New Roman"/>
          <w:sz w:val="32"/>
          <w:szCs w:val="32"/>
        </w:rPr>
        <w:t>条，其他途径主动公开政府信息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3276</w:t>
      </w:r>
      <w:r>
        <w:rPr>
          <w:rFonts w:ascii="Times New Roman" w:hAnsi="Times New Roman" w:eastAsia="仿宋_GB2312" w:cs="Times New Roman"/>
          <w:sz w:val="32"/>
          <w:szCs w:val="32"/>
        </w:rPr>
        <w:t>条。没有出现举报、投诉、泄密、被纠错等情况，确保全区政府信息公开透明、有效、规范。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853940" cy="3373755"/>
            <wp:effectExtent l="0" t="0" r="3810" b="17145"/>
            <wp:docPr id="11" name="图片 11" descr="7@)5X~`WM(VUB}%051ODC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@)5X~`WM(VUB}%051ODCQ0"/>
                    <pic:cNvPicPr>
                      <a:picLocks noChangeAspect="1"/>
                    </pic:cNvPicPr>
                  </pic:nvPicPr>
                  <pic:blipFill>
                    <a:blip r:embed="rId5"/>
                    <a:srcRect t="-3220" r="546" b="2595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1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1、加强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重大项目建设</w:t>
      </w:r>
      <w:r>
        <w:rPr>
          <w:rFonts w:ascii="Times New Roman" w:hAnsi="Times New Roman" w:eastAsia="楷体_GB2312" w:cs="Times New Roman"/>
          <w:sz w:val="32"/>
          <w:szCs w:val="32"/>
        </w:rPr>
        <w:t>信息公开。</w:t>
      </w:r>
      <w:r>
        <w:rPr>
          <w:rFonts w:ascii="Times New Roman" w:hAnsi="Times New Roman" w:eastAsia="仿宋_GB2312" w:cs="Times New Roman"/>
          <w:sz w:val="32"/>
          <w:szCs w:val="32"/>
        </w:rPr>
        <w:t>及时公布年度区重大建设项目，充分利用全区投资项目在线审批监管平台和“宿城在线”做好投资项目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批准服务信息、批准结果信息、招标投标信息、征收土地信息、重大设计变更信息、施工有关信息、质量安全监督信息、竣工有关信息等8类</w:t>
      </w:r>
      <w:r>
        <w:rPr>
          <w:rFonts w:ascii="Times New Roman" w:hAnsi="Times New Roman" w:eastAsia="仿宋_GB2312" w:cs="Times New Roman"/>
          <w:sz w:val="32"/>
          <w:szCs w:val="32"/>
        </w:rPr>
        <w:t>信息公开，着力推进实施过程信息公开，按月公开项目投资和工程完成进度情况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全年公开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重大项目投资计划、月度投资完成情况等</w:t>
      </w:r>
      <w:r>
        <w:rPr>
          <w:rFonts w:ascii="Times New Roman" w:hAnsi="Times New Roman" w:eastAsia="仿宋_GB2312" w:cs="Times New Roman"/>
          <w:sz w:val="32"/>
          <w:szCs w:val="32"/>
        </w:rPr>
        <w:t>项目信息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56</w:t>
      </w:r>
      <w:r>
        <w:rPr>
          <w:rFonts w:ascii="Times New Roman" w:hAnsi="Times New Roman" w:eastAsia="仿宋_GB2312" w:cs="Times New Roman"/>
          <w:sz w:val="32"/>
          <w:szCs w:val="32"/>
        </w:rPr>
        <w:t>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6275" cy="2957830"/>
            <wp:effectExtent l="0" t="0" r="158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楷体_GB2312" w:cs="Times New Roman"/>
          <w:sz w:val="32"/>
          <w:szCs w:val="32"/>
        </w:rPr>
        <w:t>、加强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住房保障领域</w:t>
      </w:r>
      <w:r>
        <w:rPr>
          <w:rFonts w:ascii="Times New Roman" w:hAnsi="Times New Roman" w:eastAsia="楷体_GB2312" w:cs="Times New Roman"/>
          <w:sz w:val="32"/>
          <w:szCs w:val="32"/>
        </w:rPr>
        <w:t>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重点公开保障性安居工程和危房改造方面信息，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在项目建设方面，主要公开城镇保障性安居工程规划建设方案、年度建设计划信息、建设计划完成情况信息、农村危房改造相关政策措施执行情况信息；在住房分配方面，主要公开分配对象、分配房源、分配程序、分配过程、分配结果等信息。“</w:t>
      </w:r>
      <w:r>
        <w:rPr>
          <w:rFonts w:ascii="Times New Roman" w:hAnsi="Times New Roman" w:eastAsia="仿宋_GB2312" w:cs="Times New Roman"/>
          <w:sz w:val="32"/>
          <w:szCs w:val="32"/>
        </w:rPr>
        <w:t>宿城在线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全年主动公开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马岭路北侧片区、自来水公司周边等征收项目的</w:t>
      </w:r>
      <w:r>
        <w:rPr>
          <w:rFonts w:ascii="Times New Roman" w:hAnsi="Times New Roman" w:eastAsia="仿宋_GB2312" w:cs="Times New Roman"/>
          <w:sz w:val="32"/>
          <w:szCs w:val="32"/>
        </w:rPr>
        <w:t>征收公告和补偿标准信息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135条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inline distT="0" distB="0" distL="114300" distR="114300">
            <wp:extent cx="5755005" cy="2969895"/>
            <wp:effectExtent l="0" t="0" r="171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楷体_GB2312" w:cs="Times New Roman"/>
          <w:sz w:val="32"/>
          <w:szCs w:val="32"/>
        </w:rPr>
        <w:t>、加强财政资金信息公开。</w:t>
      </w:r>
      <w:r>
        <w:rPr>
          <w:rFonts w:ascii="Times New Roman" w:hAnsi="Times New Roman" w:eastAsia="仿宋_GB2312" w:cs="Times New Roman"/>
          <w:sz w:val="32"/>
          <w:szCs w:val="32"/>
        </w:rPr>
        <w:t>认真落实财政预决算和“三公”经费公开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要求，</w:t>
      </w:r>
      <w:r>
        <w:rPr>
          <w:rFonts w:ascii="Times New Roman" w:hAnsi="Times New Roman" w:eastAsia="仿宋_GB2312" w:cs="Times New Roman"/>
          <w:sz w:val="32"/>
          <w:szCs w:val="32"/>
        </w:rPr>
        <w:t>扩大部门预算公开范围，及时公开经区人大批准的预算、决算、预算执行情况。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主动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公开采购项目公告、采购文件、采购项目预算金额、采购结果、采购合同等采购项目信息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246</w:t>
      </w:r>
      <w:r>
        <w:rPr>
          <w:rFonts w:ascii="Times New Roman" w:hAnsi="Times New Roman" w:eastAsia="仿宋_GB2312" w:cs="Times New Roman"/>
          <w:sz w:val="32"/>
          <w:szCs w:val="32"/>
        </w:rPr>
        <w:t>条。进一步加强区级财政专项资金管理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和公开工作</w:t>
      </w:r>
      <w:r>
        <w:rPr>
          <w:rFonts w:ascii="Times New Roman" w:hAnsi="Times New Roman" w:eastAsia="仿宋_GB2312" w:cs="Times New Roman"/>
          <w:sz w:val="32"/>
          <w:szCs w:val="32"/>
        </w:rPr>
        <w:t>，建立专项资金定期公开制度，发布专项资金使用情况信息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44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条。</w:t>
      </w:r>
    </w:p>
    <w:p>
      <w:pPr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drawing>
          <wp:inline distT="0" distB="0" distL="114300" distR="114300">
            <wp:extent cx="5759450" cy="330517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楷体_GB2312" w:cs="Times New Roman"/>
          <w:sz w:val="32"/>
          <w:szCs w:val="32"/>
        </w:rPr>
        <w:t>、加强公共服务信息公开。</w:t>
      </w:r>
    </w:p>
    <w:p>
      <w:pPr>
        <w:spacing w:line="560" w:lineRule="exact"/>
        <w:ind w:firstLine="64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一是做好社会救助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和扶贫开发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信息公开。</w:t>
      </w:r>
      <w:r>
        <w:rPr>
          <w:rFonts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大力开展产业扶贫、项目扶贫，投入专项扶贫资金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4760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万元实施帮扶项目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23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个，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7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个省定经济薄弱村实现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“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新八有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”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2.2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万低收入人口如期脱贫。</w:t>
      </w:r>
      <w:r>
        <w:rPr>
          <w:rFonts w:hint="eastAsia" w:ascii="Times New Roman" w:hAnsi="Times New Roman" w:eastAsia="仿宋_GB2312"/>
          <w:sz w:val="32"/>
          <w:szCs w:val="32"/>
        </w:rPr>
        <w:t>新建残疾人之家6个、城市社区居家养老服务中心17个，社区养老服务基本实现中心城区全覆盖。率先实现被征地农民“应保尽保”，城乡居民基本养老保险续保扩面14.88万人，城镇职工医保省内异地就医联网结算率超80%。落实城乡低保自然增长机制，标准分别提高至510元/月、450元/月。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通过“宿城在线”社会保障和扶贫开发专栏公开现相关信息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68条。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720" cy="3549650"/>
            <wp:effectExtent l="0" t="0" r="1143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二是积极公开就业信息。</w:t>
      </w:r>
      <w:r>
        <w:rPr>
          <w:rFonts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大力推进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全民创业，深入实施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“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家门口就业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”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工程，新增就业项目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67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个、创业主体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1.1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万个，带动就业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12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万人次</w:t>
      </w:r>
      <w:r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。通过“宿城在线”劳动就业和就业服务专栏公开就业招聘、就业培训等信息</w:t>
      </w:r>
      <w:r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57条。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085" cy="2788285"/>
            <wp:effectExtent l="0" t="0" r="1206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三是推进教育领域信息公开。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点做好义务教育、学前教育、特殊教育、职业教育等方面的信息公开。市儿童医院投入使用，获评“全省幸福家庭建设示范区”，耿车镇、蔡集镇获评“国家卫生镇”，中扬镇、王官集镇获评“江苏省卫生镇”，14个村居卫生室获评“省级示范卫生室”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在“宿城在线”教育服务等专栏公开招生政策、学区划分等信息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59条。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1195" cy="290703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四是加强卫计领域信息公开。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针对妇女、未成年人、老年人等重点人群和农村、工矿企业等重点区域，开展专项健康科普，用现代医学知识为人民群众提供健康服务。市儿童医院投入使用，获评“全省幸福家庭建设示范区”，耿车镇、蔡集镇获评“国家卫生镇”，中扬镇、王官集镇获评“江苏省卫生镇”，14个村居卫生室获评“省级示范卫生室”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在“宿城在线”医疗服务等专栏公开疾病防控、医疗机构等信息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52条。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4370" cy="3787775"/>
            <wp:effectExtent l="0" t="0" r="177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楷体_GB2312" w:cs="Times New Roman"/>
          <w:sz w:val="32"/>
          <w:szCs w:val="32"/>
        </w:rPr>
        <w:t>、推进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国资国企信息公开。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全面推进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国有产权交易、转让、增资扩股项目的信息披露和结果公示工作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及时公开全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国有及国有控股企业国有资产监管制度及生产经营、业绩考核总体情况，国有资产保值增值情况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宿城控股集团完成区属国有企业资产整合，总资产突破400亿元；众安集团、润民水务持续推进主营主业发展，累计实施14个项目，总投资达46.5亿元；港口公司围绕打造运河航运枢纽，加速拓展业务范围，营业收入一年内翻两番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国有企业资本运作能力、自主经营能力、服务发展能力显著提升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楷体_GB2312" w:cs="Times New Roman"/>
          <w:sz w:val="32"/>
          <w:szCs w:val="32"/>
        </w:rPr>
        <w:t>、加强环境保护信息公开。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点公开环境污染防治和生态保护政策措施、实施效果，污染源监测及减排，建设项目环境影响评价审批，重大环境污染和生态破坏事件调查处理，环境保护执法监管、投诉处理等信息。深入开展“263”专项行动，落实全天候降尘抑尘措施，城区建筑工地全面达到“七有”标准，完成中心城区1105户餐饮油烟整治，整改提升“散乱污”企业805家，彻底取缔钢木石材非法市场，空气质量优良率达66%，全年PM2.5浓度均值下降3.6%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通过“宿城在线”环境保护专栏、公示公告专栏公开环境执法、环评公示等信息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66条。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4370" cy="3578860"/>
            <wp:effectExtent l="0" t="0" r="177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楷体_GB2312" w:cs="Times New Roman"/>
          <w:sz w:val="32"/>
          <w:szCs w:val="32"/>
        </w:rPr>
        <w:t>、加强食品药品安全信息公开。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全年开展食堂、校外托管机构“小饭桌”、酒类产品、小麦粉、小作坊、保健食品等专项整治16次，检查各类餐饮经营主体6127户次，流通环节食品主体5719户次，圆满完成中高考以及各类重要会议活动保障21次。完成药品抽检210批次，完成药械不良反应（事件）监测工作，其中药品540例，医疗器械260例。通过区政府门户网站食品药品安全信息公开专栏，及时公开行政许可、监督检查、行政处罚、食品小作坊登记发证情况等信息，全年共公开各类信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753100" cy="23945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楷体_GB2312" w:cs="Times New Roman"/>
          <w:sz w:val="32"/>
          <w:szCs w:val="32"/>
        </w:rPr>
        <w:t>、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推进安全生产领域信息公开。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过区政府门户网站安全生产信息公开专栏，重点推进安全生产监管执法信息公开，实行监管执法的依据、内容、标准、程序、结果以及常规检查执法、暗查暗访、突击检查、随机抽查等执法信息全公开，切实执行安全生产不良记录“黑名单”制度，全年公开安全生产方面信息35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楷体_GB2312" w:cs="Times New Roman"/>
          <w:sz w:val="32"/>
          <w:szCs w:val="32"/>
        </w:rPr>
      </w:pPr>
      <w:r>
        <w:drawing>
          <wp:inline distT="0" distB="0" distL="114300" distR="114300">
            <wp:extent cx="5753100" cy="35039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三、依申请公开政府信息情况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全年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共</w:t>
      </w:r>
      <w:r>
        <w:rPr>
          <w:rFonts w:ascii="Times New Roman" w:hAnsi="Times New Roman" w:eastAsia="仿宋_GB2312" w:cs="Times New Roman"/>
          <w:sz w:val="32"/>
          <w:szCs w:val="32"/>
        </w:rPr>
        <w:t>收到政府信息公开申请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48</w:t>
      </w:r>
      <w:r>
        <w:rPr>
          <w:rFonts w:ascii="Times New Roman" w:hAnsi="Times New Roman" w:eastAsia="仿宋_GB2312" w:cs="Times New Roman"/>
          <w:sz w:val="32"/>
          <w:szCs w:val="32"/>
        </w:rPr>
        <w:t>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其中网络申请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25</w:t>
      </w:r>
      <w:r>
        <w:rPr>
          <w:rFonts w:ascii="Times New Roman" w:hAnsi="Times New Roman" w:eastAsia="仿宋_GB2312" w:cs="Times New Roman"/>
          <w:sz w:val="32"/>
          <w:szCs w:val="32"/>
        </w:rPr>
        <w:t>件，信函申请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</w:t>
      </w:r>
      <w:r>
        <w:rPr>
          <w:rFonts w:ascii="Times New Roman" w:hAnsi="Times New Roman" w:eastAsia="仿宋_GB2312" w:cs="Times New Roman"/>
          <w:sz w:val="32"/>
          <w:szCs w:val="32"/>
        </w:rPr>
        <w:t>件，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当面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3件，电话2件。其中网络和信函为主要申请渠道，合计占比为89.6%。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申请公开的政府信息，内容主要集中在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征收补偿、企业改制、市场监管等方面，尤其是征收补偿案件最多，占比近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314950" cy="2829560"/>
            <wp:effectExtent l="0" t="0" r="0" b="8890"/>
            <wp:docPr id="12" name="图片 12" descr="TY}NJ$F)K{SYWQ]_6NG_1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Y}NJ$F)K{SYWQ]_6NG_1S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48件公开申请</w:t>
      </w:r>
      <w:r>
        <w:rPr>
          <w:rFonts w:ascii="Times New Roman" w:hAnsi="Times New Roman" w:eastAsia="仿宋_GB2312" w:cs="Times New Roman"/>
          <w:sz w:val="32"/>
          <w:szCs w:val="32"/>
        </w:rPr>
        <w:t>均在规定时间内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办结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其中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属于“已主动公开”的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件，占比为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12.5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%；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“同意公开”28件，占总数45.8%；“不属于本行政机关公开”10件，占总数20.8%；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申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请人“主动撤回”的2件，占比为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％；</w:t>
      </w:r>
      <w:r>
        <w:rPr>
          <w:rFonts w:ascii="Times New Roman" w:hAnsi="Times New Roman" w:eastAsia="仿宋_GB2312" w:cs="Times New Roman"/>
          <w:sz w:val="32"/>
          <w:szCs w:val="32"/>
        </w:rPr>
        <w:t>“信息不存在或其他情况”2件，占总数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4.2</w:t>
      </w:r>
      <w:r>
        <w:rPr>
          <w:rFonts w:ascii="Times New Roman" w:hAnsi="Times New Roman" w:eastAsia="仿宋_GB2312" w:cs="Times New Roman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714875" cy="3007995"/>
            <wp:effectExtent l="0" t="0" r="9525" b="1905"/>
            <wp:docPr id="13" name="图片 13" descr="L}`~__O6LCBP~{R4KJD__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}`~__O6LCBP~{R4KJD__G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四、行政复议和行政诉讼情况</w:t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年，全区收到政府信息公开行政复议案件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件，行政诉讼案件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仿宋_GB2312" w:cs="Times New Roman"/>
          <w:sz w:val="32"/>
          <w:szCs w:val="32"/>
        </w:rPr>
        <w:t>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未发生被纠错或败诉的情形。</w:t>
      </w:r>
    </w:p>
    <w:p>
      <w:pPr>
        <w:spacing w:line="52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五、人大代表建议和政协委员提案办理结果公开情况</w:t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年，由区政府部门和单位办理的 “两会”建议提案共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286</w:t>
      </w:r>
      <w:r>
        <w:rPr>
          <w:rFonts w:ascii="Times New Roman" w:hAnsi="Times New Roman" w:eastAsia="仿宋_GB2312" w:cs="Times New Roman"/>
          <w:sz w:val="32"/>
          <w:szCs w:val="32"/>
        </w:rPr>
        <w:t>件(建议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101</w:t>
      </w:r>
      <w:r>
        <w:rPr>
          <w:rFonts w:ascii="Times New Roman" w:hAnsi="Times New Roman" w:eastAsia="仿宋_GB2312" w:cs="Times New Roman"/>
          <w:sz w:val="32"/>
          <w:szCs w:val="32"/>
        </w:rPr>
        <w:t>件、提案1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85</w:t>
      </w:r>
      <w:r>
        <w:rPr>
          <w:rFonts w:ascii="Times New Roman" w:hAnsi="Times New Roman" w:eastAsia="仿宋_GB2312" w:cs="Times New Roman"/>
          <w:sz w:val="32"/>
          <w:szCs w:val="32"/>
        </w:rPr>
        <w:t>件)，全部按时办结，没有不满意件。均及时通过“宿城在线”进行网上公开，方便公众查阅。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六、收费情况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年，我区未对公民、法人和其他组织申请公开政府信息事项收取费用。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七、存在问题及下一步工作打算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是长效机制需进一步完善。少数单位工作人员业务不熟，个别单位未配备专门工作人员，人员变动频繁。二是规定执行不到位。部分单位信息公开不够规范，少数部门没有严格执行“五公开”部署要求，重要政策未及时公开政策解读。三是依申请公开工作不够重视。部分单位因处理依申请公开经验不足，没有履行审核程序，回复的内容不够规范。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（二）下一步工作打算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年，将严格按照《条例》要求，积极围绕政府信息公开重点，进一步统一思想，提高认识，不断规范政府信息公开内容，创新政府信息公开形式，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力推进政府信息公开工作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迈上新台阶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（一）进一步推动公开任务落实。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认真落实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省、市政务公开工作最新要求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，围绕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区委区政府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工作和社会公众关切，完善政务公开制度规范，拓展公众参与渠道，扎实推进决策、执行、管理、服务、结果“五公开”，积极推进政务数据共享开放，继续深化重大建设项目、公共资源配置、社会公益事业建设、医疗卫生、教育、食品药品安全等重点领域的政务公开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（二）进一步强化公开平台建设。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强化政府网站的建设管理，优化政务公开栏目，及时做好更新维护，努力为社会公众获取政府信息提供便捷化服务。加强与新闻媒体的沟通联系，充分运用新闻媒体资源，扩大政务公开的覆盖面和影响力。充分发挥政务微博、微信作用，做好政策解读和热点回应工作，及时发布权威信息，回应公众期盼和关切。高标准建设政府信息公开查阅点场所，及时移送公开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（三）进一步完善培训考核机制。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组织政务公开专题培训，围绕主动公开、依申请公开、政策解读等方面的热点难点问题，邀请上级领导、专家学者授课，增强政务公开工作人员的专业素养。建立健全科学、合理、有效的量化评估指标体系，适时对政务公开工作开展情况进行督查，开展政务公开工作第三方评估，将评估结果作为政务公开绩效考核的重要参考。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附件1：201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年度政府信息公开情况统计表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附件2：201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年度政府信息公开申请来源统计表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rPr>
          <w:rFonts w:hint="eastAsia" w:ascii="方正小标宋_GBK" w:hAnsi="方正小标宋_GBK" w:eastAsia="方正小标宋_GBK" w:cs="方正小标宋_GBK"/>
          <w:szCs w:val="21"/>
        </w:rPr>
      </w:pPr>
    </w:p>
    <w:p>
      <w:pPr>
        <w:spacing w:line="560" w:lineRule="exact"/>
        <w:rPr>
          <w:rFonts w:hint="eastAsia" w:ascii="方正小标宋_GBK" w:hAnsi="方正小标宋_GBK" w:eastAsia="方正小标宋_GBK" w:cs="方正小标宋_GBK"/>
          <w:szCs w:val="21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Cs w:val="21"/>
        </w:rPr>
      </w:pPr>
      <w:r>
        <w:rPr>
          <w:rFonts w:hint="eastAsia" w:ascii="方正小标宋_GBK" w:hAnsi="方正小标宋_GBK" w:eastAsia="方正小标宋_GBK" w:cs="方正小标宋_GBK"/>
          <w:szCs w:val="21"/>
        </w:rPr>
        <w:t>附件1</w:t>
      </w:r>
    </w:p>
    <w:tbl>
      <w:tblPr>
        <w:tblStyle w:val="16"/>
        <w:tblpPr w:leftFromText="180" w:rightFromText="180" w:vertAnchor="text" w:horzAnchor="page" w:tblpX="1523" w:tblpY="304"/>
        <w:tblOverlap w:val="never"/>
        <w:tblW w:w="89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5"/>
        <w:gridCol w:w="680"/>
        <w:gridCol w:w="15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89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7"/>
            </w:pPr>
            <w:r>
              <w:rPr>
                <w:rFonts w:hint="eastAsia" w:cs="方正小标宋_GBK"/>
              </w:rPr>
              <w:t>宿城区</w:t>
            </w:r>
            <w:r>
              <w:t>201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 w:cs="方正小标宋_GBK"/>
              </w:rPr>
              <w:t>年度政府信息公开情况统计表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统计指标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单位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统计数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一、主动公开情况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（一）主动公开政府信息数</w:t>
            </w:r>
            <w:r>
              <w:rPr>
                <w:rFonts w:ascii="宋体" w:hAnsi="宋体" w:cs="宋体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（不同渠道和方式公开相同信息计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条）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21542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其中：主动公开规范性文件数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制发规范性文件总数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（二）通过不同渠道和方式公开政府信息的情况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1.</w:t>
            </w:r>
            <w:r>
              <w:rPr>
                <w:rFonts w:hint="eastAsia" w:ascii="宋体" w:hAnsi="宋体" w:cs="宋体"/>
                <w:sz w:val="24"/>
              </w:rPr>
              <w:t>政府公报公开政府信息数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2.</w:t>
            </w:r>
            <w:r>
              <w:rPr>
                <w:rFonts w:hint="eastAsia" w:ascii="宋体" w:hAnsi="宋体" w:cs="宋体"/>
                <w:sz w:val="24"/>
              </w:rPr>
              <w:t>政府网站公开政府信息数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13124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3.</w:t>
            </w:r>
            <w:r>
              <w:rPr>
                <w:rFonts w:hint="eastAsia" w:ascii="宋体" w:hAnsi="宋体" w:cs="宋体"/>
                <w:sz w:val="24"/>
              </w:rPr>
              <w:t>政务微博公开政府信息数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3012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4.</w:t>
            </w:r>
            <w:r>
              <w:rPr>
                <w:rFonts w:hint="eastAsia" w:ascii="宋体" w:hAnsi="宋体" w:cs="宋体"/>
                <w:sz w:val="24"/>
              </w:rPr>
              <w:t>政务微信公开政府信息数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2130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5.</w:t>
            </w:r>
            <w:r>
              <w:rPr>
                <w:rFonts w:hint="eastAsia" w:ascii="宋体" w:hAnsi="宋体" w:cs="宋体"/>
                <w:sz w:val="24"/>
              </w:rPr>
              <w:t>其他方式公开政府信息数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3276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二、回应解读情况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（一）回应公众关注热点或重大舆情数</w:t>
            </w:r>
            <w:r>
              <w:rPr>
                <w:rFonts w:ascii="宋体" w:hAnsi="宋体" w:cs="宋体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（不同方式回应同一热点或舆情计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次）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3892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（二）通过不同渠道和方式回应解读的情况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参加或举办新闻发布会总次数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其中：主要负责同志参加新闻发布会次数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政府网站在线访谈次数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其中：主要负责同志参加政府网站在线访谈次数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政策解读稿件发布数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篇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微博微信回应事件数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5.</w:t>
            </w:r>
            <w:r>
              <w:rPr>
                <w:rFonts w:hint="eastAsia" w:ascii="宋体" w:hAnsi="宋体" w:cs="宋体"/>
                <w:sz w:val="24"/>
              </w:rPr>
              <w:t>其他方式回应事件数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3499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三、依申请公开情况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（一）收到申请数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当面申请数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传真申请数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网络申请数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信函申请数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（二）申请办结数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按时办结数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延期办结数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（三）申请答复数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属于已主动公开范围数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同意公开答复数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同意部分公开答复数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不同意公开答复数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其中：涉及国家秘密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涉及商业秘密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涉及个人隐私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危及国家安全、公共安全、经济安全和社会</w:t>
            </w:r>
            <w:r>
              <w:rPr>
                <w:rFonts w:ascii="宋体" w:cs="Times New Roman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稳定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不是《条例》所指政府信息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法律法规规定的其他情形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5.</w:t>
            </w:r>
            <w:r>
              <w:rPr>
                <w:rFonts w:hint="eastAsia" w:ascii="宋体" w:hAnsi="宋体" w:cs="宋体"/>
                <w:sz w:val="24"/>
              </w:rPr>
              <w:t>不属于本行政机关公开数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6.</w:t>
            </w:r>
            <w:r>
              <w:rPr>
                <w:rFonts w:hint="eastAsia" w:ascii="宋体" w:hAnsi="宋体" w:cs="宋体"/>
                <w:sz w:val="24"/>
              </w:rPr>
              <w:t>申请信息不存在数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7.</w:t>
            </w:r>
            <w:r>
              <w:rPr>
                <w:rFonts w:hint="eastAsia" w:ascii="宋体" w:hAnsi="宋体" w:cs="宋体"/>
                <w:sz w:val="24"/>
              </w:rPr>
              <w:t>告知作出更改补充数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8.</w:t>
            </w:r>
            <w:r>
              <w:rPr>
                <w:rFonts w:hint="eastAsia" w:ascii="宋体" w:hAnsi="宋体" w:cs="宋体"/>
                <w:sz w:val="24"/>
              </w:rPr>
              <w:t>告知通过其他途径办理数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四、行政复议数量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（一）维持具体行政行为数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（二）被依法纠错数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（三）其他情形数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五、行政诉讼数量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（一）维持具体行政行为或者驳回原告诉讼请求数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（二）被依法纠错数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（三）其他情形数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六、举报投诉数量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七、依申请公开信息收取的费用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万元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八、机构建设和保障经费情况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（一）政府信息公开工作专门机构数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（二）设置政府信息公开查阅点数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（三）从事政府信息公开工作人员数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ascii="宋体" w:cs="Times New Roman"/>
                <w:sz w:val="24"/>
                <w:lang w:val="en-US" w:eastAsia="zh-CN"/>
              </w:rPr>
              <w:t>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1.</w:t>
            </w:r>
            <w:r>
              <w:rPr>
                <w:rFonts w:hint="eastAsia" w:ascii="宋体" w:hAnsi="宋体" w:cs="宋体"/>
                <w:sz w:val="24"/>
              </w:rPr>
              <w:t>专职人员数（不包括政府公报及政府网站工作人员数）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2.</w:t>
            </w:r>
            <w:r>
              <w:rPr>
                <w:rFonts w:hint="eastAsia" w:ascii="宋体" w:hAnsi="宋体" w:cs="宋体"/>
                <w:sz w:val="24"/>
              </w:rPr>
              <w:t>兼职人员数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（四）政府信息公开专项经费（不包括用于政府公报编辑管理及政府网站建设维护等方面的经费）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万元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九、政府信息公开会议和培训情况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（一）召开政府信息公开工作会议或专题会议数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（二）举办各类培训班数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（三）接受培训人员数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512</w:t>
            </w:r>
          </w:p>
        </w:tc>
      </w:tr>
    </w:tbl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rPr>
          <w:rFonts w:ascii="方正黑体_GBK" w:eastAsia="方正黑体_GBK" w:cs="方正黑体_GBK"/>
        </w:rPr>
      </w:pPr>
    </w:p>
    <w:p>
      <w:pPr>
        <w:tabs>
          <w:tab w:val="left" w:pos="425"/>
        </w:tabs>
        <w:rPr>
          <w:rFonts w:ascii="方正黑体_GBK" w:eastAsia="方正黑体_GBK" w:cs="方正黑体_GBK"/>
        </w:rPr>
      </w:pPr>
      <w:r>
        <w:rPr>
          <w:rFonts w:hint="eastAsia" w:ascii="方正黑体_GBK" w:eastAsia="方正黑体_GBK" w:cs="方正黑体_GBK"/>
        </w:rPr>
        <w:t>附件</w:t>
      </w:r>
      <w:r>
        <w:rPr>
          <w:rFonts w:ascii="方正黑体_GBK" w:eastAsia="方正黑体_GBK" w:cs="方正黑体_GBK"/>
        </w:rPr>
        <w:t>2</w:t>
      </w:r>
    </w:p>
    <w:p>
      <w:pPr>
        <w:tabs>
          <w:tab w:val="left" w:pos="425"/>
        </w:tabs>
        <w:adjustRightInd w:val="0"/>
        <w:jc w:val="center"/>
        <w:rPr>
          <w:rFonts w:ascii="方正小标宋_GBK" w:eastAsia="方正小标宋_GBK" w:cs="Times New Roman"/>
          <w:sz w:val="44"/>
          <w:szCs w:val="44"/>
        </w:rPr>
      </w:pP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</w:rPr>
        <w:t>宿城区</w:t>
      </w:r>
      <w:r>
        <w:rPr>
          <w:rFonts w:ascii="方正小标宋_GBK" w:hAnsi="黑体" w:eastAsia="方正小标宋_GBK" w:cs="方正小标宋_GBK"/>
          <w:color w:val="000000"/>
          <w:sz w:val="44"/>
          <w:szCs w:val="44"/>
        </w:rPr>
        <w:t>201</w:t>
      </w: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  <w:lang w:val="en-US" w:eastAsia="zh-CN"/>
        </w:rPr>
        <w:t>8</w:t>
      </w: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</w:rPr>
        <w:t>年度政府信息公开申请来源统计表</w:t>
      </w:r>
    </w:p>
    <w:tbl>
      <w:tblPr>
        <w:tblStyle w:val="16"/>
        <w:tblpPr w:leftFromText="180" w:rightFromText="180" w:vertAnchor="text" w:horzAnchor="page" w:tblpX="1619" w:tblpY="616"/>
        <w:tblOverlap w:val="never"/>
        <w:tblW w:w="8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2619"/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Times New Roman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申请来源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申请数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(</w:t>
            </w: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件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)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Times New Roman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占比（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%</w:t>
            </w: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一、党政机关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二、社会团体（含公益组织）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三、企业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四、宣传媒体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五、科研院校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六、公民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ind w:firstLine="480" w:firstLineChars="200"/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其中：律师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5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10.4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科研人员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媒体从业人员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七、其他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政府信息公开申请总数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4"/>
                <w:lang w:val="en-US" w:eastAsia="zh-CN"/>
              </w:rPr>
              <w:t>48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</w:tbl>
    <w:p>
      <w:pPr>
        <w:tabs>
          <w:tab w:val="left" w:pos="425"/>
        </w:tabs>
        <w:rPr>
          <w:rFonts w:ascii="方正黑体_GBK" w:eastAsia="方正楷体_GBK" w:cs="Times New Roman"/>
          <w:sz w:val="28"/>
          <w:szCs w:val="28"/>
        </w:rPr>
      </w:pPr>
    </w:p>
    <w:p>
      <w:pPr>
        <w:spacing w:line="560" w:lineRule="exact"/>
        <w:rPr>
          <w:rFonts w:cs="Times New Roman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bookmarkEnd w:id="0"/>
    <w:sectPr>
      <w:footerReference r:id="rId3" w:type="default"/>
      <w:pgSz w:w="11906" w:h="16838"/>
      <w:pgMar w:top="1417" w:right="1417" w:bottom="1417" w:left="1417" w:header="851" w:footer="992" w:gutter="0"/>
      <w:pgNumType w:fmt="numberInDash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/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- 24 -</w:t>
                </w:r>
                <w:r>
                  <w:rPr>
                    <w:rFonts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E2EEA"/>
    <w:rsid w:val="000848D6"/>
    <w:rsid w:val="001E2EEA"/>
    <w:rsid w:val="00605843"/>
    <w:rsid w:val="00774014"/>
    <w:rsid w:val="00CB3982"/>
    <w:rsid w:val="00D12DC0"/>
    <w:rsid w:val="00E10B0E"/>
    <w:rsid w:val="01755FA0"/>
    <w:rsid w:val="01A81CD4"/>
    <w:rsid w:val="01DC639F"/>
    <w:rsid w:val="0230739A"/>
    <w:rsid w:val="02D0540B"/>
    <w:rsid w:val="02F45628"/>
    <w:rsid w:val="02FD0BE8"/>
    <w:rsid w:val="033630CB"/>
    <w:rsid w:val="035A0E3B"/>
    <w:rsid w:val="036F465F"/>
    <w:rsid w:val="039341B8"/>
    <w:rsid w:val="0420022B"/>
    <w:rsid w:val="0428485E"/>
    <w:rsid w:val="047A1C0E"/>
    <w:rsid w:val="0545461A"/>
    <w:rsid w:val="056F064B"/>
    <w:rsid w:val="05BE4CB1"/>
    <w:rsid w:val="05E4551B"/>
    <w:rsid w:val="062C60ED"/>
    <w:rsid w:val="0642569C"/>
    <w:rsid w:val="06490F3D"/>
    <w:rsid w:val="067F3DA9"/>
    <w:rsid w:val="07065DE7"/>
    <w:rsid w:val="0736125C"/>
    <w:rsid w:val="08055EA3"/>
    <w:rsid w:val="08985A63"/>
    <w:rsid w:val="091413BB"/>
    <w:rsid w:val="091C170A"/>
    <w:rsid w:val="0931313B"/>
    <w:rsid w:val="094B568F"/>
    <w:rsid w:val="095C5D68"/>
    <w:rsid w:val="097C501D"/>
    <w:rsid w:val="0AB249F5"/>
    <w:rsid w:val="0B134ED5"/>
    <w:rsid w:val="0B3F2CA6"/>
    <w:rsid w:val="0B4D6BC8"/>
    <w:rsid w:val="0B7F5F8D"/>
    <w:rsid w:val="0B9E7953"/>
    <w:rsid w:val="0BA26D25"/>
    <w:rsid w:val="0BB217C9"/>
    <w:rsid w:val="0C126A8E"/>
    <w:rsid w:val="0C8A3346"/>
    <w:rsid w:val="0C9E57D9"/>
    <w:rsid w:val="0CB23EBF"/>
    <w:rsid w:val="0D037393"/>
    <w:rsid w:val="0DB96182"/>
    <w:rsid w:val="0DBA1AD4"/>
    <w:rsid w:val="0E433FE2"/>
    <w:rsid w:val="0E8E358F"/>
    <w:rsid w:val="0EC0357A"/>
    <w:rsid w:val="0EF96022"/>
    <w:rsid w:val="0F455B45"/>
    <w:rsid w:val="0FDB4273"/>
    <w:rsid w:val="10196BB1"/>
    <w:rsid w:val="105362F8"/>
    <w:rsid w:val="10764993"/>
    <w:rsid w:val="10B54113"/>
    <w:rsid w:val="10CD317C"/>
    <w:rsid w:val="115B1D3B"/>
    <w:rsid w:val="116D2283"/>
    <w:rsid w:val="11866A29"/>
    <w:rsid w:val="11DC124C"/>
    <w:rsid w:val="12915F35"/>
    <w:rsid w:val="12EE3177"/>
    <w:rsid w:val="12F54F1F"/>
    <w:rsid w:val="134D3348"/>
    <w:rsid w:val="13B02D53"/>
    <w:rsid w:val="148B3F03"/>
    <w:rsid w:val="14C54393"/>
    <w:rsid w:val="15034E56"/>
    <w:rsid w:val="152C72F2"/>
    <w:rsid w:val="15931B06"/>
    <w:rsid w:val="15AC2610"/>
    <w:rsid w:val="15D009CA"/>
    <w:rsid w:val="15D67559"/>
    <w:rsid w:val="16206427"/>
    <w:rsid w:val="167E75D6"/>
    <w:rsid w:val="16980D90"/>
    <w:rsid w:val="16A761BC"/>
    <w:rsid w:val="16EC2FE2"/>
    <w:rsid w:val="170627B5"/>
    <w:rsid w:val="176A1CCF"/>
    <w:rsid w:val="17F64A4E"/>
    <w:rsid w:val="18411E2D"/>
    <w:rsid w:val="18A832E5"/>
    <w:rsid w:val="19321470"/>
    <w:rsid w:val="193D5D4D"/>
    <w:rsid w:val="197F6A02"/>
    <w:rsid w:val="19E63477"/>
    <w:rsid w:val="1A706E77"/>
    <w:rsid w:val="1ADF33E2"/>
    <w:rsid w:val="1B0B3453"/>
    <w:rsid w:val="1BD16728"/>
    <w:rsid w:val="1BDF4314"/>
    <w:rsid w:val="1C030B22"/>
    <w:rsid w:val="1C14743D"/>
    <w:rsid w:val="1C834171"/>
    <w:rsid w:val="1C971A3D"/>
    <w:rsid w:val="1CB7506D"/>
    <w:rsid w:val="1D485A50"/>
    <w:rsid w:val="1D497A76"/>
    <w:rsid w:val="1E7746A8"/>
    <w:rsid w:val="1E7C590C"/>
    <w:rsid w:val="1E8614FC"/>
    <w:rsid w:val="1E8A2152"/>
    <w:rsid w:val="1E9840E4"/>
    <w:rsid w:val="1EFE23BA"/>
    <w:rsid w:val="1F174703"/>
    <w:rsid w:val="1F26052B"/>
    <w:rsid w:val="1F375EC7"/>
    <w:rsid w:val="1FE911F0"/>
    <w:rsid w:val="202D1A6C"/>
    <w:rsid w:val="21091A08"/>
    <w:rsid w:val="21262AF0"/>
    <w:rsid w:val="21797545"/>
    <w:rsid w:val="21844439"/>
    <w:rsid w:val="21B62500"/>
    <w:rsid w:val="21D578E9"/>
    <w:rsid w:val="21E40A3A"/>
    <w:rsid w:val="21F032AD"/>
    <w:rsid w:val="21FA0C3C"/>
    <w:rsid w:val="22546F4A"/>
    <w:rsid w:val="22B1533A"/>
    <w:rsid w:val="22B2779C"/>
    <w:rsid w:val="22F11207"/>
    <w:rsid w:val="23581A40"/>
    <w:rsid w:val="238A5498"/>
    <w:rsid w:val="23904CB7"/>
    <w:rsid w:val="23A720DB"/>
    <w:rsid w:val="23B72DD5"/>
    <w:rsid w:val="23DB28B9"/>
    <w:rsid w:val="24373D00"/>
    <w:rsid w:val="249B0423"/>
    <w:rsid w:val="24FD47F8"/>
    <w:rsid w:val="258C5495"/>
    <w:rsid w:val="26395542"/>
    <w:rsid w:val="269C05A0"/>
    <w:rsid w:val="26AA293F"/>
    <w:rsid w:val="2719480D"/>
    <w:rsid w:val="271C6B2B"/>
    <w:rsid w:val="27694C27"/>
    <w:rsid w:val="276C13A8"/>
    <w:rsid w:val="27BC6308"/>
    <w:rsid w:val="27BD1452"/>
    <w:rsid w:val="27C62182"/>
    <w:rsid w:val="27C84B89"/>
    <w:rsid w:val="28394726"/>
    <w:rsid w:val="284F61B0"/>
    <w:rsid w:val="28E768F0"/>
    <w:rsid w:val="2933791D"/>
    <w:rsid w:val="293F44FE"/>
    <w:rsid w:val="29576B3E"/>
    <w:rsid w:val="29CA3D03"/>
    <w:rsid w:val="29F06ED0"/>
    <w:rsid w:val="2A1641DE"/>
    <w:rsid w:val="2A1F0896"/>
    <w:rsid w:val="2A514261"/>
    <w:rsid w:val="2B9E355F"/>
    <w:rsid w:val="2BEA0DFD"/>
    <w:rsid w:val="2C0834CD"/>
    <w:rsid w:val="2D620246"/>
    <w:rsid w:val="2D6D2974"/>
    <w:rsid w:val="2D6F4B4E"/>
    <w:rsid w:val="2DA42ECA"/>
    <w:rsid w:val="2DB53461"/>
    <w:rsid w:val="2DBA247D"/>
    <w:rsid w:val="2DE04C52"/>
    <w:rsid w:val="2ECB186E"/>
    <w:rsid w:val="2EFE65CC"/>
    <w:rsid w:val="2F011158"/>
    <w:rsid w:val="2FA808FB"/>
    <w:rsid w:val="3019493D"/>
    <w:rsid w:val="30E1161A"/>
    <w:rsid w:val="31455786"/>
    <w:rsid w:val="31795546"/>
    <w:rsid w:val="31974A89"/>
    <w:rsid w:val="32350C1E"/>
    <w:rsid w:val="325A0D31"/>
    <w:rsid w:val="32657EFA"/>
    <w:rsid w:val="329D0DFB"/>
    <w:rsid w:val="32A53CFD"/>
    <w:rsid w:val="32EA56F9"/>
    <w:rsid w:val="32EA685F"/>
    <w:rsid w:val="33C15842"/>
    <w:rsid w:val="345D238B"/>
    <w:rsid w:val="34875615"/>
    <w:rsid w:val="34BE46A4"/>
    <w:rsid w:val="353307B2"/>
    <w:rsid w:val="353837C8"/>
    <w:rsid w:val="35452B71"/>
    <w:rsid w:val="35CA6886"/>
    <w:rsid w:val="36031CAD"/>
    <w:rsid w:val="36AA59C1"/>
    <w:rsid w:val="36B41708"/>
    <w:rsid w:val="373D3A8E"/>
    <w:rsid w:val="3741236D"/>
    <w:rsid w:val="37755D72"/>
    <w:rsid w:val="37851A06"/>
    <w:rsid w:val="37EB4D8B"/>
    <w:rsid w:val="38506233"/>
    <w:rsid w:val="388629E4"/>
    <w:rsid w:val="38D47C68"/>
    <w:rsid w:val="38F00BB2"/>
    <w:rsid w:val="392C34D0"/>
    <w:rsid w:val="392D66F4"/>
    <w:rsid w:val="396A50CF"/>
    <w:rsid w:val="39B77E92"/>
    <w:rsid w:val="39BE310E"/>
    <w:rsid w:val="3A0939C4"/>
    <w:rsid w:val="3A8A703A"/>
    <w:rsid w:val="3AB37D12"/>
    <w:rsid w:val="3B4102D2"/>
    <w:rsid w:val="3B7A4E96"/>
    <w:rsid w:val="3B8D3D4B"/>
    <w:rsid w:val="3B90456D"/>
    <w:rsid w:val="3B9069A9"/>
    <w:rsid w:val="3BA65686"/>
    <w:rsid w:val="3BBA0E66"/>
    <w:rsid w:val="3BCF3A17"/>
    <w:rsid w:val="3C117631"/>
    <w:rsid w:val="3C190B2F"/>
    <w:rsid w:val="3C1A19BB"/>
    <w:rsid w:val="3C216AB0"/>
    <w:rsid w:val="3C405882"/>
    <w:rsid w:val="3C7C3A67"/>
    <w:rsid w:val="3CE81D55"/>
    <w:rsid w:val="3CEC1AF4"/>
    <w:rsid w:val="3CF323FA"/>
    <w:rsid w:val="3D4B525D"/>
    <w:rsid w:val="3D7860A1"/>
    <w:rsid w:val="3D7D3F30"/>
    <w:rsid w:val="3D8124E9"/>
    <w:rsid w:val="3D8F6AA3"/>
    <w:rsid w:val="3DC2680A"/>
    <w:rsid w:val="3E477F56"/>
    <w:rsid w:val="3E5679ED"/>
    <w:rsid w:val="3E976EA0"/>
    <w:rsid w:val="3EA64C0C"/>
    <w:rsid w:val="3F2703B9"/>
    <w:rsid w:val="3F3B42A3"/>
    <w:rsid w:val="3F7E4B2B"/>
    <w:rsid w:val="3F9204F3"/>
    <w:rsid w:val="3F94155A"/>
    <w:rsid w:val="400F4D7D"/>
    <w:rsid w:val="40515AA2"/>
    <w:rsid w:val="405C2D03"/>
    <w:rsid w:val="408D686F"/>
    <w:rsid w:val="40C265B2"/>
    <w:rsid w:val="40D376C0"/>
    <w:rsid w:val="40DE168B"/>
    <w:rsid w:val="41AC1A5C"/>
    <w:rsid w:val="41B159C1"/>
    <w:rsid w:val="41BA6031"/>
    <w:rsid w:val="41BD7BF5"/>
    <w:rsid w:val="41FF6EAC"/>
    <w:rsid w:val="424E7BF7"/>
    <w:rsid w:val="425A7DE7"/>
    <w:rsid w:val="42713F37"/>
    <w:rsid w:val="42856494"/>
    <w:rsid w:val="428A6563"/>
    <w:rsid w:val="428D6E29"/>
    <w:rsid w:val="42A14DE7"/>
    <w:rsid w:val="42AD05D4"/>
    <w:rsid w:val="42BB0518"/>
    <w:rsid w:val="42C30F9C"/>
    <w:rsid w:val="42D83D9C"/>
    <w:rsid w:val="43063DD5"/>
    <w:rsid w:val="430D295C"/>
    <w:rsid w:val="43804CDB"/>
    <w:rsid w:val="43DE475D"/>
    <w:rsid w:val="43EF7B54"/>
    <w:rsid w:val="440D420A"/>
    <w:rsid w:val="4434608A"/>
    <w:rsid w:val="44686D2B"/>
    <w:rsid w:val="44734798"/>
    <w:rsid w:val="44995C3C"/>
    <w:rsid w:val="45037B85"/>
    <w:rsid w:val="452312FC"/>
    <w:rsid w:val="45680155"/>
    <w:rsid w:val="4639097B"/>
    <w:rsid w:val="4699458B"/>
    <w:rsid w:val="46AC66DE"/>
    <w:rsid w:val="46E965C6"/>
    <w:rsid w:val="46FD6E48"/>
    <w:rsid w:val="47954033"/>
    <w:rsid w:val="47BA5786"/>
    <w:rsid w:val="48330C70"/>
    <w:rsid w:val="484D6637"/>
    <w:rsid w:val="491156EE"/>
    <w:rsid w:val="497E5F43"/>
    <w:rsid w:val="49C331A7"/>
    <w:rsid w:val="4A1B7F2D"/>
    <w:rsid w:val="4A37263D"/>
    <w:rsid w:val="4A7927D1"/>
    <w:rsid w:val="4A9270E7"/>
    <w:rsid w:val="4A9D25FD"/>
    <w:rsid w:val="4B171B20"/>
    <w:rsid w:val="4B6B27CB"/>
    <w:rsid w:val="4B8F67FC"/>
    <w:rsid w:val="4B973131"/>
    <w:rsid w:val="4C1E6630"/>
    <w:rsid w:val="4DCE5C20"/>
    <w:rsid w:val="4DD44528"/>
    <w:rsid w:val="4E45357B"/>
    <w:rsid w:val="4E467A1E"/>
    <w:rsid w:val="4E7B6425"/>
    <w:rsid w:val="4EC823D7"/>
    <w:rsid w:val="4ECE3286"/>
    <w:rsid w:val="4FA41415"/>
    <w:rsid w:val="4FB22C69"/>
    <w:rsid w:val="4FFF4BB5"/>
    <w:rsid w:val="50424226"/>
    <w:rsid w:val="50B339DD"/>
    <w:rsid w:val="50C062D0"/>
    <w:rsid w:val="50EC33E9"/>
    <w:rsid w:val="51055BD3"/>
    <w:rsid w:val="512D5823"/>
    <w:rsid w:val="51721B5D"/>
    <w:rsid w:val="518F6E9B"/>
    <w:rsid w:val="51E213A2"/>
    <w:rsid w:val="52157F16"/>
    <w:rsid w:val="523F0161"/>
    <w:rsid w:val="53041BE7"/>
    <w:rsid w:val="53817EC2"/>
    <w:rsid w:val="53BB5F19"/>
    <w:rsid w:val="53DF5962"/>
    <w:rsid w:val="541E1600"/>
    <w:rsid w:val="542F0CC3"/>
    <w:rsid w:val="54B6702E"/>
    <w:rsid w:val="54C75883"/>
    <w:rsid w:val="550E1764"/>
    <w:rsid w:val="5510268B"/>
    <w:rsid w:val="552B7A17"/>
    <w:rsid w:val="55433722"/>
    <w:rsid w:val="5550251F"/>
    <w:rsid w:val="5550382A"/>
    <w:rsid w:val="556A1C1C"/>
    <w:rsid w:val="55F547EE"/>
    <w:rsid w:val="55FD3195"/>
    <w:rsid w:val="560E2916"/>
    <w:rsid w:val="564B4A89"/>
    <w:rsid w:val="571A62B2"/>
    <w:rsid w:val="57702545"/>
    <w:rsid w:val="58311381"/>
    <w:rsid w:val="5871393C"/>
    <w:rsid w:val="5885591D"/>
    <w:rsid w:val="589E5413"/>
    <w:rsid w:val="589F4C0F"/>
    <w:rsid w:val="58A5124C"/>
    <w:rsid w:val="58CD4657"/>
    <w:rsid w:val="596356F0"/>
    <w:rsid w:val="5A227576"/>
    <w:rsid w:val="5A3319EC"/>
    <w:rsid w:val="5A531971"/>
    <w:rsid w:val="5A6B23C0"/>
    <w:rsid w:val="5A7B34C9"/>
    <w:rsid w:val="5A982021"/>
    <w:rsid w:val="5AA57ACB"/>
    <w:rsid w:val="5B2425FB"/>
    <w:rsid w:val="5B384971"/>
    <w:rsid w:val="5B5246F3"/>
    <w:rsid w:val="5B5B3652"/>
    <w:rsid w:val="5B7A69A7"/>
    <w:rsid w:val="5BA348C5"/>
    <w:rsid w:val="5CA0467A"/>
    <w:rsid w:val="5CB80C1E"/>
    <w:rsid w:val="5CE80C00"/>
    <w:rsid w:val="5CFC68D5"/>
    <w:rsid w:val="5D380D3D"/>
    <w:rsid w:val="5DCD59A3"/>
    <w:rsid w:val="5E37698A"/>
    <w:rsid w:val="5E574998"/>
    <w:rsid w:val="5E6A6B89"/>
    <w:rsid w:val="5F590514"/>
    <w:rsid w:val="5F650A75"/>
    <w:rsid w:val="5FD13597"/>
    <w:rsid w:val="610C2CE5"/>
    <w:rsid w:val="61203810"/>
    <w:rsid w:val="613F608C"/>
    <w:rsid w:val="61CE149F"/>
    <w:rsid w:val="61F12B25"/>
    <w:rsid w:val="61F6796C"/>
    <w:rsid w:val="62672377"/>
    <w:rsid w:val="6298635B"/>
    <w:rsid w:val="63530B45"/>
    <w:rsid w:val="637D3488"/>
    <w:rsid w:val="639B1F90"/>
    <w:rsid w:val="63EB1824"/>
    <w:rsid w:val="6461784C"/>
    <w:rsid w:val="648506C2"/>
    <w:rsid w:val="64E21D7E"/>
    <w:rsid w:val="64FC5E73"/>
    <w:rsid w:val="652469DA"/>
    <w:rsid w:val="659E3CC5"/>
    <w:rsid w:val="66107C0B"/>
    <w:rsid w:val="6626416A"/>
    <w:rsid w:val="66EC6AA1"/>
    <w:rsid w:val="67225A90"/>
    <w:rsid w:val="67751B02"/>
    <w:rsid w:val="678143F8"/>
    <w:rsid w:val="67B062EB"/>
    <w:rsid w:val="67B54259"/>
    <w:rsid w:val="688C6E82"/>
    <w:rsid w:val="68C75053"/>
    <w:rsid w:val="698838EF"/>
    <w:rsid w:val="69975315"/>
    <w:rsid w:val="69E51F40"/>
    <w:rsid w:val="69EB69C3"/>
    <w:rsid w:val="69FB4F2C"/>
    <w:rsid w:val="6A24106A"/>
    <w:rsid w:val="6B2F2FD8"/>
    <w:rsid w:val="6B760086"/>
    <w:rsid w:val="6B886798"/>
    <w:rsid w:val="6C3F7626"/>
    <w:rsid w:val="6C4D51F1"/>
    <w:rsid w:val="6C6366E5"/>
    <w:rsid w:val="6C664015"/>
    <w:rsid w:val="6D434305"/>
    <w:rsid w:val="6D4D0E91"/>
    <w:rsid w:val="6D6224A3"/>
    <w:rsid w:val="6D641917"/>
    <w:rsid w:val="6E1F24A3"/>
    <w:rsid w:val="6E7F160C"/>
    <w:rsid w:val="6EA22247"/>
    <w:rsid w:val="6EC44C88"/>
    <w:rsid w:val="6ECC20D3"/>
    <w:rsid w:val="6F2056AD"/>
    <w:rsid w:val="6F597339"/>
    <w:rsid w:val="6FB91A83"/>
    <w:rsid w:val="6FBA1CC5"/>
    <w:rsid w:val="6FDA33E3"/>
    <w:rsid w:val="71052BAC"/>
    <w:rsid w:val="713B6E42"/>
    <w:rsid w:val="71594479"/>
    <w:rsid w:val="71D424FD"/>
    <w:rsid w:val="71E51988"/>
    <w:rsid w:val="71EB7BF4"/>
    <w:rsid w:val="72252BB2"/>
    <w:rsid w:val="73150C42"/>
    <w:rsid w:val="733D4456"/>
    <w:rsid w:val="73542958"/>
    <w:rsid w:val="738C4312"/>
    <w:rsid w:val="738E25D6"/>
    <w:rsid w:val="7453442D"/>
    <w:rsid w:val="748237C2"/>
    <w:rsid w:val="74EF700F"/>
    <w:rsid w:val="74F8785B"/>
    <w:rsid w:val="74FC64A4"/>
    <w:rsid w:val="75172BA3"/>
    <w:rsid w:val="75423B1D"/>
    <w:rsid w:val="754A05D6"/>
    <w:rsid w:val="75941357"/>
    <w:rsid w:val="75B53037"/>
    <w:rsid w:val="766A69BE"/>
    <w:rsid w:val="76734A9C"/>
    <w:rsid w:val="778C15F0"/>
    <w:rsid w:val="779F4C40"/>
    <w:rsid w:val="78941D23"/>
    <w:rsid w:val="78A13076"/>
    <w:rsid w:val="78AB2C11"/>
    <w:rsid w:val="78D06FA5"/>
    <w:rsid w:val="78DA0227"/>
    <w:rsid w:val="78E9404C"/>
    <w:rsid w:val="79041BEB"/>
    <w:rsid w:val="796435A8"/>
    <w:rsid w:val="7A173637"/>
    <w:rsid w:val="7A2E1520"/>
    <w:rsid w:val="7A620BDE"/>
    <w:rsid w:val="7A9147E0"/>
    <w:rsid w:val="7BC51EE2"/>
    <w:rsid w:val="7C696680"/>
    <w:rsid w:val="7C784CCA"/>
    <w:rsid w:val="7CE969D3"/>
    <w:rsid w:val="7D015DD0"/>
    <w:rsid w:val="7D38704B"/>
    <w:rsid w:val="7D683139"/>
    <w:rsid w:val="7DD0312A"/>
    <w:rsid w:val="7DF77B57"/>
    <w:rsid w:val="7EBC4770"/>
    <w:rsid w:val="7F2E2D56"/>
    <w:rsid w:val="7F4615E9"/>
    <w:rsid w:val="7F602C3C"/>
    <w:rsid w:val="7F6303AC"/>
    <w:rsid w:val="7F843426"/>
    <w:rsid w:val="7F963586"/>
    <w:rsid w:val="7FBB007B"/>
    <w:rsid w:val="7FCB27E8"/>
    <w:rsid w:val="7FFD3B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3D3D3D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TML Definition"/>
    <w:basedOn w:val="6"/>
    <w:qFormat/>
    <w:uiPriority w:val="0"/>
  </w:style>
  <w:style w:type="character" w:styleId="10">
    <w:name w:val="HTML Variable"/>
    <w:basedOn w:val="6"/>
    <w:qFormat/>
    <w:uiPriority w:val="0"/>
  </w:style>
  <w:style w:type="character" w:styleId="11">
    <w:name w:val="Hyperlink"/>
    <w:basedOn w:val="6"/>
    <w:qFormat/>
    <w:uiPriority w:val="0"/>
    <w:rPr>
      <w:color w:val="3D3D3D"/>
      <w:u w:val="none"/>
    </w:rPr>
  </w:style>
  <w:style w:type="character" w:styleId="12">
    <w:name w:val="HTML Code"/>
    <w:basedOn w:val="6"/>
    <w:qFormat/>
    <w:uiPriority w:val="0"/>
    <w:rPr>
      <w:rFonts w:hint="default" w:ascii="Courier New" w:hAnsi="Courier New" w:eastAsia="Courier New" w:cs="Courier New"/>
      <w:sz w:val="20"/>
    </w:rPr>
  </w:style>
  <w:style w:type="character" w:styleId="13">
    <w:name w:val="HTML Cite"/>
    <w:basedOn w:val="6"/>
    <w:qFormat/>
    <w:uiPriority w:val="0"/>
  </w:style>
  <w:style w:type="character" w:styleId="14">
    <w:name w:val="HTML Keyboard"/>
    <w:basedOn w:val="6"/>
    <w:qFormat/>
    <w:uiPriority w:val="0"/>
    <w:rPr>
      <w:rFonts w:hint="default" w:ascii="Courier New" w:hAnsi="Courier New" w:eastAsia="Courier New" w:cs="Courier New"/>
      <w:sz w:val="20"/>
    </w:rPr>
  </w:style>
  <w:style w:type="character" w:styleId="15">
    <w:name w:val="HTML Sample"/>
    <w:basedOn w:val="6"/>
    <w:qFormat/>
    <w:uiPriority w:val="0"/>
    <w:rPr>
      <w:rFonts w:ascii="Courier New" w:hAnsi="Courier New" w:eastAsia="Courier New" w:cs="Courier New"/>
    </w:rPr>
  </w:style>
  <w:style w:type="paragraph" w:customStyle="1" w:styleId="17">
    <w:name w:val="标题1"/>
    <w:basedOn w:val="1"/>
    <w:next w:val="1"/>
    <w:qFormat/>
    <w:uiPriority w:val="99"/>
    <w:pPr>
      <w:tabs>
        <w:tab w:val="left" w:pos="9193"/>
        <w:tab w:val="left" w:pos="9827"/>
      </w:tabs>
      <w:autoSpaceDE w:val="0"/>
      <w:autoSpaceDN w:val="0"/>
      <w:snapToGrid w:val="0"/>
      <w:spacing w:line="640" w:lineRule="atLeast"/>
      <w:jc w:val="center"/>
    </w:pPr>
    <w:rPr>
      <w:rFonts w:ascii="Times New Roman" w:hAnsi="Times New Roman" w:eastAsia="方正小标宋_GBK" w:cs="Times New Roman"/>
      <w:kern w:val="0"/>
      <w:sz w:val="44"/>
      <w:szCs w:val="44"/>
    </w:rPr>
  </w:style>
  <w:style w:type="character" w:customStyle="1" w:styleId="1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 Char"/>
    <w:basedOn w:val="1"/>
    <w:semiHidden/>
    <w:qFormat/>
    <w:uiPriority w:val="0"/>
    <w:rPr>
      <w:rFonts w:ascii="Tahoma" w:hAnsi="Tahoma" w:eastAsia="宋体" w:cs="仿宋_GB231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24</Pages>
  <Words>6827</Words>
  <Characters>2206</Characters>
  <Lines>18</Lines>
  <Paragraphs>18</Paragraphs>
  <TotalTime>0</TotalTime>
  <ScaleCrop>false</ScaleCrop>
  <LinksUpToDate>false</LinksUpToDate>
  <CharactersWithSpaces>9015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办公专用1421739716</cp:lastModifiedBy>
  <cp:lastPrinted>2019-02-21T06:10:00Z</cp:lastPrinted>
  <dcterms:modified xsi:type="dcterms:W3CDTF">2019-02-22T02:20:55Z</dcterms:modified>
  <dc:title>宿城区政务公开自查报告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