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宿城区水利局</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lang w:eastAsia="zh-CN"/>
        </w:rPr>
      </w:pP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年政府信息公开工作年度报告</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640" w:firstLineChars="200"/>
        <w:rPr>
          <w:rFonts w:hint="eastAsia" w:ascii="仿宋_GB2312" w:hAnsi="仿宋_GB2312" w:eastAsia="仿宋_GB2312" w:cs="仿宋_GB2312"/>
          <w:sz w:val="32"/>
          <w:szCs w:val="32"/>
          <w:lang w:eastAsia="zh-CN"/>
        </w:rPr>
      </w:pPr>
      <w:r>
        <w:rPr>
          <w:rFonts w:hint="eastAsia"/>
          <w:lang w:eastAsia="zh-CN"/>
        </w:rPr>
        <w:t>本年度报告根据《中华人民共和国政府信息公开条例》（以下简称《条例》）和《国务院办公厅政府信息与政务公开办公室关于印发中华人民共和国政府信息公开工作年度报告格式的通知》（国办公开办函〔</w:t>
      </w:r>
      <w:r>
        <w:rPr>
          <w:rFonts w:hint="default" w:ascii="Times New Roman" w:hAnsi="Times New Roman" w:cs="Times New Roman"/>
          <w:lang w:eastAsia="zh-CN"/>
        </w:rPr>
        <w:t>2021</w:t>
      </w:r>
      <w:r>
        <w:rPr>
          <w:rFonts w:hint="eastAsia"/>
          <w:lang w:eastAsia="zh-CN"/>
        </w:rPr>
        <w:t>〕</w:t>
      </w:r>
      <w:r>
        <w:rPr>
          <w:rFonts w:hint="default" w:ascii="Times New Roman" w:hAnsi="Times New Roman" w:cs="Times New Roman"/>
          <w:lang w:eastAsia="zh-CN"/>
        </w:rPr>
        <w:t>30</w:t>
      </w:r>
      <w:r>
        <w:rPr>
          <w:rFonts w:hint="eastAsia"/>
          <w:lang w:eastAsia="zh-CN"/>
        </w:rPr>
        <w:t>号）</w:t>
      </w:r>
      <w:r>
        <w:rPr>
          <w:rFonts w:hint="eastAsia" w:ascii="仿宋_GB2312" w:hAnsi="仿宋_GB2312" w:eastAsia="仿宋_GB2312" w:cs="仿宋_GB2312"/>
          <w:sz w:val="32"/>
          <w:szCs w:val="32"/>
        </w:rPr>
        <w:t>以及国务院和省、市</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rPr>
        <w:t>相关文件规定</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由宿城区水利局编制而成，现</w:t>
      </w:r>
      <w:r>
        <w:rPr>
          <w:rFonts w:hint="eastAsia" w:ascii="仿宋_GB2312" w:hAnsi="仿宋_GB2312" w:eastAsia="仿宋_GB2312" w:cs="仿宋_GB2312"/>
          <w:sz w:val="32"/>
          <w:szCs w:val="32"/>
          <w:lang w:eastAsia="zh-CN"/>
        </w:rPr>
        <w:t>向社会</w:t>
      </w:r>
      <w:r>
        <w:rPr>
          <w:rFonts w:hint="eastAsia" w:ascii="仿宋_GB2312" w:hAnsi="仿宋_GB2312" w:cs="仿宋_GB2312"/>
          <w:sz w:val="32"/>
          <w:szCs w:val="32"/>
          <w:lang w:eastAsia="zh-CN"/>
        </w:rPr>
        <w:t>予以</w:t>
      </w:r>
      <w:r>
        <w:rPr>
          <w:rFonts w:hint="eastAsia" w:ascii="仿宋_GB2312" w:hAnsi="仿宋_GB2312" w:eastAsia="仿宋_GB2312" w:cs="仿宋_GB2312"/>
          <w:sz w:val="32"/>
          <w:szCs w:val="32"/>
          <w:lang w:eastAsia="zh-CN"/>
        </w:rPr>
        <w:t>公布。</w:t>
      </w:r>
      <w:r>
        <w:rPr>
          <w:rFonts w:hint="eastAsia"/>
          <w:lang w:eastAsia="zh-CN"/>
        </w:rPr>
        <w:t>本年报</w:t>
      </w:r>
      <w:r>
        <w:rPr>
          <w:rFonts w:hint="eastAsia" w:ascii="仿宋_GB2312" w:hAnsi="仿宋_GB2312" w:eastAsia="仿宋_GB2312" w:cs="仿宋_GB2312"/>
          <w:sz w:val="32"/>
          <w:szCs w:val="32"/>
          <w:lang w:eastAsia="zh-CN"/>
        </w:rPr>
        <w:t>所列数据的统计期限自</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月</w:t>
      </w: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日至</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lang w:eastAsia="zh-CN"/>
        </w:rPr>
        <w:t>12</w:t>
      </w:r>
      <w:r>
        <w:rPr>
          <w:rFonts w:hint="eastAsia" w:ascii="仿宋_GB2312" w:hAnsi="仿宋_GB2312" w:eastAsia="仿宋_GB2312" w:cs="仿宋_GB2312"/>
          <w:sz w:val="32"/>
          <w:szCs w:val="32"/>
          <w:lang w:eastAsia="zh-CN"/>
        </w:rPr>
        <w:t>月</w:t>
      </w:r>
      <w:r>
        <w:rPr>
          <w:rFonts w:hint="default" w:ascii="Times New Roman" w:hAnsi="Times New Roman" w:eastAsia="仿宋_GB2312" w:cs="Times New Roman"/>
          <w:sz w:val="32"/>
          <w:szCs w:val="32"/>
          <w:lang w:eastAsia="zh-CN"/>
        </w:rPr>
        <w:t>31</w:t>
      </w:r>
      <w:r>
        <w:rPr>
          <w:rFonts w:hint="eastAsia" w:ascii="仿宋_GB2312" w:hAnsi="仿宋_GB2312" w:eastAsia="仿宋_GB2312" w:cs="仿宋_GB2312"/>
          <w:sz w:val="32"/>
          <w:szCs w:val="32"/>
          <w:lang w:eastAsia="zh-CN"/>
        </w:rPr>
        <w:t>日止</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“宿城区人民政府网”（</w:t>
      </w:r>
      <w:r>
        <w:rPr>
          <w:rFonts w:hint="default" w:ascii="Times New Roman" w:hAnsi="Times New Roman" w:eastAsia="仿宋_GB2312" w:cs="Times New Roman"/>
          <w:sz w:val="32"/>
          <w:szCs w:val="32"/>
          <w:lang w:val="en-US" w:eastAsia="zh-CN"/>
        </w:rPr>
        <w:t>http</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www</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sqsc</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gov</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cn</w:t>
      </w:r>
      <w:r>
        <w:rPr>
          <w:rFonts w:hint="eastAsia" w:ascii="仿宋_GB2312" w:hAnsi="仿宋_GB2312" w:eastAsia="仿宋_GB2312" w:cs="仿宋_GB2312"/>
          <w:sz w:val="32"/>
          <w:szCs w:val="32"/>
          <w:lang w:val="en-US" w:eastAsia="zh-CN"/>
        </w:rPr>
        <w:t>/）“政府信息公开”栏目公布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如对报告有任何疑问，请与宿城区水利局办公室联系（联系电话：</w:t>
      </w:r>
      <w:r>
        <w:rPr>
          <w:rFonts w:hint="default" w:ascii="Times New Roman" w:hAnsi="Times New Roman" w:eastAsia="仿宋_GB2312" w:cs="Times New Roman"/>
          <w:sz w:val="32"/>
          <w:szCs w:val="32"/>
          <w:lang w:eastAsia="zh-CN"/>
        </w:rPr>
        <w:t>0527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82960213</w:t>
      </w:r>
      <w:r>
        <w:rPr>
          <w:rFonts w:hint="eastAsia" w:ascii="仿宋_GB2312" w:hAnsi="仿宋_GB2312" w:eastAsia="仿宋_GB2312" w:cs="仿宋_GB2312"/>
          <w:sz w:val="32"/>
          <w:szCs w:val="32"/>
          <w:lang w:eastAsia="zh-CN"/>
        </w:rPr>
        <w:t>；邮政编码：</w:t>
      </w:r>
      <w:r>
        <w:rPr>
          <w:rFonts w:hint="default" w:ascii="Times New Roman" w:hAnsi="Times New Roman" w:eastAsia="仿宋_GB2312" w:cs="Times New Roman"/>
          <w:sz w:val="32"/>
          <w:szCs w:val="32"/>
          <w:lang w:eastAsia="zh-CN"/>
        </w:rPr>
        <w:t>223800</w:t>
      </w: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"mailto:sc82960213@163.com）。" </w:instrText>
      </w:r>
      <w:r>
        <w:rPr>
          <w:rFonts w:hint="eastAsia" w:ascii="仿宋_GB2312" w:hAnsi="仿宋_GB2312" w:eastAsia="仿宋_GB2312" w:cs="仿宋_GB2312"/>
          <w:color w:val="auto"/>
          <w:sz w:val="32"/>
          <w:szCs w:val="32"/>
          <w:lang w:eastAsia="zh-CN"/>
        </w:rPr>
        <w:fldChar w:fldCharType="separate"/>
      </w:r>
      <w:r>
        <w:rPr>
          <w:rStyle w:val="10"/>
          <w:rFonts w:hint="default" w:ascii="Times New Roman" w:hAnsi="Times New Roman" w:eastAsia="仿宋_GB2312" w:cs="Times New Roman"/>
          <w:color w:val="auto"/>
          <w:sz w:val="32"/>
          <w:szCs w:val="32"/>
          <w:lang w:eastAsia="zh-CN"/>
        </w:rPr>
        <w:t>sc82960213</w:t>
      </w:r>
      <w:r>
        <w:rPr>
          <w:rStyle w:val="10"/>
          <w:rFonts w:hint="eastAsia" w:ascii="仿宋_GB2312" w:hAnsi="仿宋_GB2312" w:eastAsia="仿宋_GB2312" w:cs="仿宋_GB2312"/>
          <w:color w:val="auto"/>
          <w:sz w:val="32"/>
          <w:szCs w:val="32"/>
          <w:lang w:eastAsia="zh-CN"/>
        </w:rPr>
        <w:t>@</w:t>
      </w:r>
      <w:r>
        <w:rPr>
          <w:rStyle w:val="10"/>
          <w:rFonts w:hint="default" w:ascii="Times New Roman" w:hAnsi="Times New Roman" w:eastAsia="仿宋_GB2312" w:cs="Times New Roman"/>
          <w:color w:val="auto"/>
          <w:sz w:val="32"/>
          <w:szCs w:val="32"/>
          <w:lang w:eastAsia="zh-CN"/>
        </w:rPr>
        <w:t>163</w:t>
      </w:r>
      <w:r>
        <w:rPr>
          <w:rStyle w:val="10"/>
          <w:rFonts w:hint="eastAsia" w:ascii="仿宋_GB2312" w:hAnsi="仿宋_GB2312" w:eastAsia="仿宋_GB2312" w:cs="仿宋_GB2312"/>
          <w:color w:val="auto"/>
          <w:sz w:val="32"/>
          <w:szCs w:val="32"/>
          <w:lang w:eastAsia="zh-CN"/>
        </w:rPr>
        <w:t>.</w:t>
      </w:r>
      <w:r>
        <w:rPr>
          <w:rStyle w:val="10"/>
          <w:rFonts w:hint="default" w:ascii="Times New Roman" w:hAnsi="Times New Roman" w:eastAsia="仿宋_GB2312" w:cs="Times New Roman"/>
          <w:color w:val="auto"/>
          <w:sz w:val="32"/>
          <w:szCs w:val="32"/>
          <w:lang w:eastAsia="zh-CN"/>
        </w:rPr>
        <w:t>com</w:t>
      </w:r>
      <w:r>
        <w:rPr>
          <w:rStyle w:val="10"/>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5"/>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640" w:firstLineChars="200"/>
        <w:textAlignment w:val="baseline"/>
        <w:rPr>
          <w:rFonts w:hint="default"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2024年度，宿城区水利局</w:t>
      </w:r>
      <w:r>
        <w:rPr>
          <w:rFonts w:hint="default" w:ascii="Calibri" w:hAnsi="Calibri" w:eastAsia="仿宋_GB2312" w:cs="Times New Roman"/>
          <w:kern w:val="2"/>
          <w:sz w:val="32"/>
          <w:szCs w:val="24"/>
          <w:lang w:val="en-US" w:eastAsia="zh-CN" w:bidi="ar-SA"/>
        </w:rPr>
        <w:t>坚持以</w:t>
      </w:r>
      <w:r>
        <w:rPr>
          <w:rFonts w:hint="eastAsia" w:ascii="Calibri" w:hAnsi="Calibri" w:eastAsia="仿宋_GB2312" w:cs="Times New Roman"/>
          <w:kern w:val="2"/>
          <w:sz w:val="32"/>
          <w:szCs w:val="24"/>
          <w:lang w:val="en-US" w:eastAsia="zh-CN" w:bidi="ar-SA"/>
        </w:rPr>
        <w:t>习近平新时代中国特色社会主义思想为指导，</w:t>
      </w:r>
      <w:r>
        <w:rPr>
          <w:rFonts w:hint="default" w:ascii="Calibri" w:hAnsi="Calibri" w:eastAsia="仿宋_GB2312" w:cs="Times New Roman"/>
          <w:kern w:val="2"/>
          <w:sz w:val="32"/>
          <w:szCs w:val="24"/>
          <w:lang w:val="en-US" w:eastAsia="zh-CN" w:bidi="ar-SA"/>
        </w:rPr>
        <w:t>深入贯彻党中央、国务院、省、市</w:t>
      </w:r>
      <w:r>
        <w:rPr>
          <w:rFonts w:hint="eastAsia" w:cs="Times New Roman"/>
          <w:kern w:val="2"/>
          <w:sz w:val="32"/>
          <w:szCs w:val="24"/>
          <w:lang w:val="en-US" w:eastAsia="zh-CN" w:bidi="ar-SA"/>
        </w:rPr>
        <w:t>、区</w:t>
      </w:r>
      <w:r>
        <w:rPr>
          <w:rFonts w:hint="default" w:ascii="Calibri" w:hAnsi="Calibri" w:eastAsia="仿宋_GB2312" w:cs="Times New Roman"/>
          <w:kern w:val="2"/>
          <w:sz w:val="32"/>
          <w:szCs w:val="24"/>
          <w:lang w:val="en-US" w:eastAsia="zh-CN" w:bidi="ar-SA"/>
        </w:rPr>
        <w:t>政府关于全面推进政务公开的决策部署</w:t>
      </w:r>
      <w:r>
        <w:rPr>
          <w:rFonts w:hint="eastAsia" w:ascii="Calibri" w:hAnsi="Calibri" w:eastAsia="仿宋_GB2312" w:cs="Times New Roman"/>
          <w:kern w:val="2"/>
          <w:sz w:val="32"/>
          <w:szCs w:val="24"/>
          <w:lang w:val="en-US" w:eastAsia="zh-CN" w:bidi="ar-SA"/>
        </w:rPr>
        <w:t>，牢固树立以</w:t>
      </w:r>
      <w:r>
        <w:rPr>
          <w:rFonts w:hint="default" w:ascii="Calibri" w:hAnsi="Calibri" w:eastAsia="仿宋_GB2312" w:cs="Times New Roman"/>
          <w:kern w:val="2"/>
          <w:sz w:val="32"/>
          <w:szCs w:val="24"/>
          <w:lang w:val="en-US" w:eastAsia="zh-CN" w:bidi="ar-SA"/>
        </w:rPr>
        <w:t>人民为中心的发展思想，严格按照《条例》要求，</w:t>
      </w:r>
      <w:r>
        <w:rPr>
          <w:rFonts w:hint="eastAsia" w:cs="Times New Roman"/>
          <w:kern w:val="2"/>
          <w:sz w:val="32"/>
          <w:szCs w:val="24"/>
          <w:lang w:val="en-US" w:eastAsia="zh-CN" w:bidi="ar-SA"/>
        </w:rPr>
        <w:t>紧密</w:t>
      </w:r>
      <w:r>
        <w:rPr>
          <w:rFonts w:hint="eastAsia" w:ascii="Calibri" w:hAnsi="Calibri" w:eastAsia="仿宋_GB2312" w:cs="Times New Roman"/>
          <w:kern w:val="2"/>
          <w:sz w:val="32"/>
          <w:szCs w:val="24"/>
          <w:lang w:val="en-US" w:eastAsia="zh-CN" w:bidi="ar-SA"/>
        </w:rPr>
        <w:t>围绕</w:t>
      </w:r>
      <w:r>
        <w:rPr>
          <w:rFonts w:hint="eastAsia" w:cs="Times New Roman"/>
          <w:kern w:val="2"/>
          <w:sz w:val="32"/>
          <w:szCs w:val="24"/>
          <w:lang w:val="en-US" w:eastAsia="zh-CN" w:bidi="ar-SA"/>
        </w:rPr>
        <w:t>水利</w:t>
      </w:r>
      <w:r>
        <w:rPr>
          <w:rFonts w:hint="eastAsia" w:ascii="Calibri" w:hAnsi="Calibri" w:eastAsia="仿宋_GB2312" w:cs="Times New Roman"/>
          <w:kern w:val="2"/>
          <w:sz w:val="32"/>
          <w:szCs w:val="24"/>
          <w:lang w:val="en-US" w:eastAsia="zh-CN" w:bidi="ar-SA"/>
        </w:rPr>
        <w:t>工作</w:t>
      </w:r>
      <w:r>
        <w:rPr>
          <w:rFonts w:hint="eastAsia" w:cs="Times New Roman"/>
          <w:kern w:val="2"/>
          <w:sz w:val="32"/>
          <w:szCs w:val="24"/>
          <w:lang w:val="en-US" w:eastAsia="zh-CN" w:bidi="ar-SA"/>
        </w:rPr>
        <w:t>实际</w:t>
      </w:r>
      <w:r>
        <w:rPr>
          <w:rFonts w:hint="eastAsia" w:ascii="Calibri" w:hAnsi="Calibri" w:eastAsia="仿宋_GB2312" w:cs="Times New Roman"/>
          <w:kern w:val="2"/>
          <w:sz w:val="32"/>
          <w:szCs w:val="24"/>
          <w:lang w:val="en-US" w:eastAsia="zh-CN" w:bidi="ar-SA"/>
        </w:rPr>
        <w:t>和群众关注关切，积极推进水利领域决策、执行、管理、服务、结果信息公开</w:t>
      </w:r>
      <w:r>
        <w:rPr>
          <w:rFonts w:hint="default" w:ascii="Calibri" w:hAnsi="Calibri" w:eastAsia="仿宋_GB2312" w:cs="Times New Roman"/>
          <w:kern w:val="2"/>
          <w:sz w:val="32"/>
          <w:szCs w:val="24"/>
          <w:lang w:val="en-US" w:eastAsia="zh-CN" w:bidi="ar-SA"/>
        </w:rPr>
        <w:t>，</w:t>
      </w:r>
      <w:r>
        <w:rPr>
          <w:rFonts w:hint="eastAsia" w:ascii="Calibri" w:hAnsi="Calibri" w:eastAsia="仿宋_GB2312" w:cs="Times New Roman"/>
          <w:kern w:val="2"/>
          <w:sz w:val="32"/>
          <w:szCs w:val="24"/>
          <w:lang w:val="en-US" w:eastAsia="zh-CN" w:bidi="ar-SA"/>
        </w:rPr>
        <w:t>着力推进政府信息公开工作标准化和规范化</w:t>
      </w:r>
      <w:r>
        <w:rPr>
          <w:rFonts w:hint="eastAsia" w:cs="Times New Roman"/>
          <w:kern w:val="2"/>
          <w:sz w:val="32"/>
          <w:szCs w:val="24"/>
          <w:lang w:val="en-US" w:eastAsia="zh-CN" w:bidi="ar-SA"/>
        </w:rPr>
        <w:t>，</w:t>
      </w:r>
      <w:r>
        <w:rPr>
          <w:rFonts w:hint="default" w:ascii="Calibri" w:hAnsi="Calibri" w:eastAsia="仿宋_GB2312" w:cs="Times New Roman"/>
          <w:kern w:val="2"/>
          <w:sz w:val="32"/>
          <w:szCs w:val="24"/>
          <w:lang w:val="en-US" w:eastAsia="zh-CN" w:bidi="ar-SA"/>
        </w:rPr>
        <w:t>保障人民群众的知情权、参与权和监督权</w:t>
      </w:r>
      <w:r>
        <w:rPr>
          <w:rFonts w:hint="eastAsia" w:ascii="Calibri" w:hAnsi="Calibri" w:eastAsia="仿宋_GB2312" w:cs="Times New Roman"/>
          <w:kern w:val="2"/>
          <w:sz w:val="32"/>
          <w:szCs w:val="24"/>
          <w:lang w:val="en-US" w:eastAsia="zh-CN" w:bidi="ar-SA"/>
        </w:rPr>
        <w:t>，助力新阶段水利高质量发展。</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rPr>
          <w:rFonts w:hint="default" w:ascii="Times New Roman" w:hAnsi="Times New Roman" w:cs="Times New Roman"/>
          <w:sz w:val="32"/>
          <w:szCs w:val="32"/>
          <w:lang w:val="en-US" w:eastAsia="zh-CN"/>
        </w:rPr>
      </w:pPr>
      <w:r>
        <w:rPr>
          <w:rFonts w:hint="eastAsia" w:ascii="楷体_GB2312" w:hAnsi="楷体_GB2312" w:eastAsia="楷体_GB2312" w:cs="楷体_GB2312"/>
          <w:sz w:val="32"/>
          <w:szCs w:val="32"/>
          <w:lang w:val="en-US" w:eastAsia="zh-CN"/>
        </w:rPr>
        <w:t>（一）主动公开政府信息情况。</w:t>
      </w:r>
      <w:r>
        <w:rPr>
          <w:rFonts w:hint="eastAsia" w:ascii="Times New Roman" w:hAnsi="Times New Roman" w:cs="Times New Roman"/>
          <w:kern w:val="2"/>
          <w:sz w:val="32"/>
          <w:szCs w:val="32"/>
          <w:lang w:val="en-US" w:eastAsia="zh-CN" w:bidi="ar-SA"/>
        </w:rPr>
        <w:t>聚焦水利高质量发展，及时更新公开文件、财政、人事等信息。2024年度，我局在宿城区人民政府网站更新上传宿城区水利局基层政务公开标准目录、宿城区水利局政府信息主动公开目录清单，发布文件、总结及其他类信息24条；发布机构信息1条；发布2024年度宿迁市宿城区水利局部门预算公开、宿迁市宿城区水利局2023年度部门决算公开等财政信息2条；在《中国水利报》《新华日报》等各级媒体平台发表新闻宣传298篇，全力营造良好水利行业舆论环境。</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kern w:val="2"/>
          <w:sz w:val="32"/>
          <w:szCs w:val="32"/>
          <w:lang w:val="en-US" w:eastAsia="zh-CN" w:bidi="ar-SA"/>
        </w:rPr>
        <w:t>（二）依申请信息公开依法依规办理。</w:t>
      </w:r>
      <w:r>
        <w:rPr>
          <w:rFonts w:hint="eastAsia" w:ascii="Times New Roman" w:hAnsi="Times New Roman" w:eastAsia="仿宋_GB2312" w:cs="Times New Roman"/>
          <w:kern w:val="2"/>
          <w:sz w:val="32"/>
          <w:szCs w:val="32"/>
          <w:lang w:val="en-US" w:eastAsia="zh-CN" w:bidi="ar-SA"/>
        </w:rPr>
        <w:t>严格执行政府信息公开申请接收、登记、审核、办理、答复、归档等流程，强化沟通交流，充分了解申请人信息需求，耐心做好答疑解惑工作，对符合公开条件的政府信息公开申请尽早公开，对申请事项不属于政府信息公开工作范畴或无法按申请提供政府信息的，主动做好解释，避免出现误解和异议。</w:t>
      </w:r>
      <w:r>
        <w:rPr>
          <w:rFonts w:hint="eastAsia" w:ascii="Times New Roman" w:hAnsi="Times New Roman" w:cs="Times New Roman"/>
          <w:kern w:val="2"/>
          <w:sz w:val="32"/>
          <w:szCs w:val="32"/>
          <w:lang w:val="en-US" w:eastAsia="zh-CN" w:bidi="ar-SA"/>
        </w:rPr>
        <w:t>2024年度，我局共收到政府信息公开申</w:t>
      </w:r>
      <w:r>
        <w:rPr>
          <w:rFonts w:hint="eastAsia" w:ascii="Times New Roman" w:hAnsi="Times New Roman" w:eastAsia="仿宋_GB2312" w:cs="Times New Roman"/>
          <w:kern w:val="2"/>
          <w:sz w:val="32"/>
          <w:szCs w:val="32"/>
          <w:lang w:val="en-US" w:eastAsia="zh-CN" w:bidi="ar-SA"/>
        </w:rPr>
        <w:t>请4件，其中1件为网上申请，</w:t>
      </w:r>
      <w:r>
        <w:rPr>
          <w:rFonts w:hint="eastAsia" w:ascii="Times New Roman" w:hAnsi="Times New Roman"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件为信函申请，均已按规定答复办结。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Times New Roman" w:eastAsia="仿宋_GB2312" w:cs="仿宋_GB2312"/>
          <w:i w:val="0"/>
          <w:iCs w:val="0"/>
          <w:caps w:val="0"/>
          <w:color w:val="000000"/>
          <w:spacing w:val="0"/>
          <w:sz w:val="32"/>
          <w:szCs w:val="32"/>
          <w:u w:val="none"/>
          <w:shd w:val="clear" w:fill="FFFFFF"/>
          <w:vertAlign w:val="baseline"/>
          <w:lang w:val="en-US" w:eastAsia="zh-CN"/>
        </w:rPr>
      </w:pPr>
      <w:r>
        <w:rPr>
          <w:rFonts w:hint="eastAsia" w:ascii="楷体_GB2312" w:hAnsi="楷体_GB2312" w:eastAsia="楷体_GB2312" w:cs="楷体_GB2312"/>
          <w:kern w:val="2"/>
          <w:sz w:val="32"/>
          <w:szCs w:val="32"/>
          <w:lang w:val="en-US" w:eastAsia="zh-CN" w:bidi="ar-SA"/>
        </w:rPr>
        <w:t>（三）政府信息管理情况。</w:t>
      </w:r>
      <w:r>
        <w:rPr>
          <w:rFonts w:hint="eastAsia" w:ascii="Times New Roman" w:hAnsi="Times New Roman" w:eastAsia="仿宋_GB2312" w:cs="Times New Roman"/>
          <w:kern w:val="2"/>
          <w:sz w:val="32"/>
          <w:szCs w:val="32"/>
          <w:lang w:val="en-US" w:eastAsia="zh-CN" w:bidi="ar-SA"/>
        </w:rPr>
        <w:t>进一步完善信息“三审”制度，明确审核主体、审核流程，严把政治关、法律关、政策关、保密关、文字关，从源头上落实了保密、意识形态审查制度，确保“上网信息不涉密、涉密信息不上网”。同时充分利用内容校对平台对发布前的信息进行在线检测，严防出现错别字和严重表述错误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kern w:val="2"/>
          <w:sz w:val="32"/>
          <w:szCs w:val="32"/>
          <w:lang w:val="en-US" w:eastAsia="zh-CN" w:bidi="ar-SA"/>
        </w:rPr>
        <w:t>（四）监督保障情况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强化组织领导，落实专人分管、专人办理。进一步完善政府信息公开审查、发布、监督等工作机制，确保信息公开发布重点突出、主题明确。</w:t>
      </w:r>
    </w:p>
    <w:p>
      <w:pPr>
        <w:keepNext w:val="0"/>
        <w:keepLines w:val="0"/>
        <w:pageBreakBefore w:val="0"/>
        <w:widowControl w:val="0"/>
        <w:tabs>
          <w:tab w:val="left" w:pos="425"/>
        </w:tabs>
        <w:kinsoku/>
        <w:wordWrap/>
        <w:overflowPunct/>
        <w:topLinePunct w:val="0"/>
        <w:autoSpaceDE/>
        <w:autoSpaceDN w:val="0"/>
        <w:bidi w:val="0"/>
        <w:adjustRightInd/>
        <w:snapToGrid/>
        <w:spacing w:beforeAutospacing="0" w:line="56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beforeAutospacing="0" w:line="56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r>
        <w:rPr>
          <w:rFonts w:hint="default" w:ascii="黑体" w:hAnsi="黑体" w:eastAsia="黑体" w:cs="黑体"/>
          <w:b w:val="0"/>
          <w:i w:val="0"/>
          <w:snapToGrid/>
          <w:color w:val="auto"/>
          <w:sz w:val="32"/>
          <w:szCs w:val="32"/>
          <w:lang w:val="en-US" w:eastAsia="zh-CN"/>
        </w:rPr>
        <w:t>二、主动公开政府信息情况</w:t>
      </w:r>
    </w:p>
    <w:tbl>
      <w:tblPr>
        <w:tblStyle w:val="8"/>
        <w:tblW w:w="0" w:type="auto"/>
        <w:jc w:val="center"/>
        <w:tblLayout w:type="fixed"/>
        <w:tblCellMar>
          <w:top w:w="15" w:type="dxa"/>
          <w:left w:w="15" w:type="dxa"/>
          <w:bottom w:w="15" w:type="dxa"/>
          <w:right w:w="15" w:type="dxa"/>
        </w:tblCellMar>
      </w:tblPr>
      <w:tblGrid>
        <w:gridCol w:w="3422"/>
        <w:gridCol w:w="1875"/>
        <w:gridCol w:w="1424"/>
        <w:gridCol w:w="2051"/>
      </w:tblGrid>
      <w:tr>
        <w:tblPrEx>
          <w:tblCellMar>
            <w:top w:w="15" w:type="dxa"/>
            <w:left w:w="15" w:type="dxa"/>
            <w:bottom w:w="15" w:type="dxa"/>
            <w:right w:w="15" w:type="dxa"/>
          </w:tblCellMar>
        </w:tblPrEx>
        <w:trPr>
          <w:trHeight w:val="493" w:hRule="atLeast"/>
          <w:jc w:val="center"/>
        </w:trPr>
        <w:tc>
          <w:tcPr>
            <w:tcW w:w="8772"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第二十条</w:t>
            </w:r>
            <w:r>
              <w:rPr>
                <w:rFonts w:hint="eastAsia" w:ascii="Times New Roman" w:hAnsi="Times New Roman" w:eastAsia="宋体" w:cs="Times New Roman"/>
                <w:color w:val="000000"/>
                <w:kern w:val="0"/>
                <w:sz w:val="20"/>
                <w:szCs w:val="20"/>
                <w:lang w:val="en-US" w:eastAsia="zh-CN" w:bidi="ar-SA"/>
              </w:rPr>
              <w:t xml:space="preserve"> </w:t>
            </w:r>
            <w:r>
              <w:rPr>
                <w:rFonts w:hint="default" w:ascii="Times New Roman" w:hAnsi="Times New Roman" w:eastAsia="宋体" w:cs="Times New Roman"/>
                <w:color w:val="000000"/>
                <w:kern w:val="0"/>
                <w:sz w:val="20"/>
                <w:szCs w:val="20"/>
                <w:lang w:val="en-US" w:eastAsia="zh-CN" w:bidi="ar-SA"/>
              </w:rPr>
              <w:t>第（一）项</w:t>
            </w:r>
          </w:p>
        </w:tc>
      </w:tr>
      <w:tr>
        <w:tblPrEx>
          <w:tblCellMar>
            <w:top w:w="15" w:type="dxa"/>
            <w:left w:w="15" w:type="dxa"/>
            <w:bottom w:w="15" w:type="dxa"/>
            <w:right w:w="15" w:type="dxa"/>
          </w:tblCellMar>
        </w:tblPrEx>
        <w:trPr>
          <w:trHeight w:val="882"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信息内容</w:t>
            </w:r>
          </w:p>
        </w:tc>
        <w:tc>
          <w:tcPr>
            <w:tcW w:w="18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本年</w:t>
            </w:r>
            <w:r>
              <w:rPr>
                <w:rFonts w:hint="eastAsia" w:ascii="Times New Roman" w:hAnsi="Times New Roman" w:eastAsia="宋体" w:cs="Times New Roman"/>
                <w:color w:val="000000"/>
                <w:kern w:val="0"/>
                <w:sz w:val="20"/>
                <w:szCs w:val="20"/>
                <w:lang w:val="en-US" w:eastAsia="zh-CN" w:bidi="ar-SA"/>
              </w:rPr>
              <w:t>制发件数</w:t>
            </w:r>
          </w:p>
        </w:tc>
        <w:tc>
          <w:tcPr>
            <w:tcW w:w="14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本年</w:t>
            </w:r>
            <w:r>
              <w:rPr>
                <w:rFonts w:hint="eastAsia" w:ascii="Times New Roman" w:hAnsi="Times New Roman" w:eastAsia="宋体" w:cs="Times New Roman"/>
                <w:color w:val="000000"/>
                <w:kern w:val="0"/>
                <w:sz w:val="20"/>
                <w:szCs w:val="20"/>
                <w:lang w:val="en-US" w:eastAsia="zh-CN" w:bidi="ar-SA"/>
              </w:rPr>
              <w:t>废止件数</w:t>
            </w:r>
          </w:p>
        </w:tc>
        <w:tc>
          <w:tcPr>
            <w:tcW w:w="20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eastAsia" w:ascii="Times New Roman" w:hAnsi="Times New Roman" w:eastAsia="宋体" w:cs="Times New Roman"/>
                <w:color w:val="000000"/>
                <w:kern w:val="0"/>
                <w:sz w:val="20"/>
                <w:szCs w:val="20"/>
                <w:lang w:val="en-US" w:eastAsia="zh-CN" w:bidi="ar-SA"/>
              </w:rPr>
              <w:t>现行有效件数</w:t>
            </w:r>
          </w:p>
        </w:tc>
      </w:tr>
      <w:tr>
        <w:tblPrEx>
          <w:tblCellMar>
            <w:top w:w="15" w:type="dxa"/>
            <w:left w:w="15" w:type="dxa"/>
            <w:bottom w:w="15" w:type="dxa"/>
            <w:right w:w="15" w:type="dxa"/>
          </w:tblCellMar>
        </w:tblPrEx>
        <w:trPr>
          <w:trHeight w:val="523"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left"/>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规章</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0</w:t>
            </w:r>
          </w:p>
        </w:tc>
        <w:tc>
          <w:tcPr>
            <w:tcW w:w="14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0</w:t>
            </w:r>
          </w:p>
        </w:tc>
        <w:tc>
          <w:tcPr>
            <w:tcW w:w="20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0</w:t>
            </w:r>
          </w:p>
        </w:tc>
      </w:tr>
      <w:tr>
        <w:tblPrEx>
          <w:tblCellMar>
            <w:top w:w="15" w:type="dxa"/>
            <w:left w:w="15" w:type="dxa"/>
            <w:bottom w:w="15" w:type="dxa"/>
            <w:right w:w="15" w:type="dxa"/>
          </w:tblCellMar>
        </w:tblPrEx>
        <w:trPr>
          <w:trHeight w:val="471"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left"/>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规范性文件</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0"/>
                <w:szCs w:val="20"/>
                <w:lang w:val="en-US" w:eastAsia="zh-CN"/>
              </w:rPr>
            </w:pPr>
            <w:r>
              <w:rPr>
                <w:rFonts w:hint="default" w:ascii="Times New Roman" w:hAnsi="Times New Roman" w:cs="Times New Roman"/>
                <w:color w:val="000000"/>
                <w:sz w:val="20"/>
                <w:szCs w:val="20"/>
                <w:lang w:val="en-US" w:eastAsia="zh-CN"/>
              </w:rPr>
              <w:t>0</w:t>
            </w:r>
            <w:r>
              <w:rPr>
                <w:rFonts w:hint="eastAsia" w:ascii="Times New Roman" w:hAnsi="Times New Roman" w:cs="Times New Roman"/>
                <w:color w:val="000000"/>
                <w:sz w:val="20"/>
                <w:szCs w:val="20"/>
                <w:lang w:val="en-US" w:eastAsia="zh-CN"/>
              </w:rPr>
              <w:t xml:space="preserve"> </w:t>
            </w:r>
          </w:p>
        </w:tc>
        <w:tc>
          <w:tcPr>
            <w:tcW w:w="14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eastAsia="zh-CN"/>
              </w:rPr>
              <w:t>0</w:t>
            </w:r>
          </w:p>
        </w:tc>
        <w:tc>
          <w:tcPr>
            <w:tcW w:w="20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0</w:t>
            </w:r>
          </w:p>
        </w:tc>
      </w:tr>
      <w:tr>
        <w:tblPrEx>
          <w:tblCellMar>
            <w:top w:w="15" w:type="dxa"/>
            <w:left w:w="15" w:type="dxa"/>
            <w:bottom w:w="15" w:type="dxa"/>
            <w:right w:w="15" w:type="dxa"/>
          </w:tblCellMar>
        </w:tblPrEx>
        <w:trPr>
          <w:trHeight w:val="480" w:hRule="atLeast"/>
          <w:jc w:val="center"/>
        </w:trPr>
        <w:tc>
          <w:tcPr>
            <w:tcW w:w="8772"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第二十条</w:t>
            </w:r>
            <w:r>
              <w:rPr>
                <w:rFonts w:hint="eastAsia" w:ascii="Times New Roman" w:hAnsi="Times New Roman" w:eastAsia="宋体" w:cs="Times New Roman"/>
                <w:color w:val="000000"/>
                <w:kern w:val="0"/>
                <w:sz w:val="20"/>
                <w:szCs w:val="20"/>
                <w:lang w:val="en-US" w:eastAsia="zh-CN" w:bidi="ar-SA"/>
              </w:rPr>
              <w:t xml:space="preserve"> </w:t>
            </w:r>
            <w:r>
              <w:rPr>
                <w:rFonts w:hint="default" w:ascii="Times New Roman" w:hAnsi="Times New Roman" w:eastAsia="宋体" w:cs="Times New Roman"/>
                <w:color w:val="000000"/>
                <w:kern w:val="0"/>
                <w:sz w:val="20"/>
                <w:szCs w:val="20"/>
                <w:lang w:val="en-US" w:eastAsia="zh-CN" w:bidi="ar-SA"/>
              </w:rPr>
              <w:t>第（五）项</w:t>
            </w:r>
          </w:p>
        </w:tc>
      </w:tr>
      <w:tr>
        <w:tblPrEx>
          <w:tblCellMar>
            <w:top w:w="15" w:type="dxa"/>
            <w:left w:w="15" w:type="dxa"/>
            <w:bottom w:w="15" w:type="dxa"/>
            <w:right w:w="15" w:type="dxa"/>
          </w:tblCellMar>
        </w:tblPrEx>
        <w:trPr>
          <w:trHeight w:val="634"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信息内容</w:t>
            </w:r>
          </w:p>
        </w:tc>
        <w:tc>
          <w:tcPr>
            <w:tcW w:w="535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eastAsia" w:ascii="Times New Roman" w:hAnsi="Times New Roman" w:eastAsia="宋体" w:cs="Times New Roman"/>
                <w:color w:val="000000"/>
                <w:kern w:val="0"/>
                <w:sz w:val="20"/>
                <w:szCs w:val="20"/>
                <w:lang w:val="en-US" w:eastAsia="zh-CN" w:bidi="ar-SA"/>
              </w:rPr>
              <w:t>本年</w:t>
            </w:r>
            <w:r>
              <w:rPr>
                <w:rFonts w:hint="default" w:ascii="Times New Roman" w:hAnsi="Times New Roman" w:eastAsia="宋体" w:cs="Times New Roman"/>
                <w:color w:val="000000"/>
                <w:kern w:val="0"/>
                <w:sz w:val="20"/>
                <w:szCs w:val="20"/>
                <w:lang w:val="en-US" w:eastAsia="zh-CN" w:bidi="ar-SA"/>
              </w:rPr>
              <w:t>处理决定数量</w:t>
            </w:r>
          </w:p>
        </w:tc>
      </w:tr>
      <w:tr>
        <w:tblPrEx>
          <w:tblCellMar>
            <w:top w:w="15" w:type="dxa"/>
            <w:left w:w="15" w:type="dxa"/>
            <w:bottom w:w="15" w:type="dxa"/>
            <w:right w:w="15" w:type="dxa"/>
          </w:tblCellMar>
        </w:tblPrEx>
        <w:trPr>
          <w:trHeight w:val="528"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left"/>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行政许可</w:t>
            </w:r>
          </w:p>
        </w:tc>
        <w:tc>
          <w:tcPr>
            <w:tcW w:w="53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0"/>
                <w:szCs w:val="20"/>
                <w:highlight w:val="none"/>
                <w:lang w:val="en-US" w:eastAsia="zh-CN"/>
              </w:rPr>
            </w:pPr>
            <w:r>
              <w:rPr>
                <w:rFonts w:hint="eastAsia" w:ascii="Times New Roman" w:hAnsi="Times New Roman" w:cs="Times New Roman"/>
                <w:color w:val="auto"/>
                <w:sz w:val="20"/>
                <w:szCs w:val="20"/>
                <w:highlight w:val="none"/>
                <w:lang w:val="en-US" w:eastAsia="zh-CN"/>
              </w:rPr>
              <w:t>23</w:t>
            </w:r>
          </w:p>
        </w:tc>
      </w:tr>
      <w:tr>
        <w:tblPrEx>
          <w:tblCellMar>
            <w:top w:w="15" w:type="dxa"/>
            <w:left w:w="15" w:type="dxa"/>
            <w:bottom w:w="15" w:type="dxa"/>
            <w:right w:w="15" w:type="dxa"/>
          </w:tblCellMar>
        </w:tblPrEx>
        <w:trPr>
          <w:trHeight w:val="406" w:hRule="atLeast"/>
          <w:jc w:val="center"/>
        </w:trPr>
        <w:tc>
          <w:tcPr>
            <w:tcW w:w="8772"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第二十条</w:t>
            </w:r>
            <w:r>
              <w:rPr>
                <w:rFonts w:hint="eastAsia" w:ascii="Times New Roman" w:hAnsi="Times New Roman" w:eastAsia="宋体" w:cs="Times New Roman"/>
                <w:color w:val="000000"/>
                <w:kern w:val="0"/>
                <w:sz w:val="20"/>
                <w:szCs w:val="20"/>
                <w:lang w:val="en-US" w:eastAsia="zh-CN" w:bidi="ar-SA"/>
              </w:rPr>
              <w:t xml:space="preserve"> </w:t>
            </w:r>
            <w:r>
              <w:rPr>
                <w:rFonts w:hint="default" w:ascii="Times New Roman" w:hAnsi="Times New Roman" w:eastAsia="宋体" w:cs="Times New Roman"/>
                <w:color w:val="000000"/>
                <w:kern w:val="0"/>
                <w:sz w:val="20"/>
                <w:szCs w:val="20"/>
                <w:lang w:val="en-US" w:eastAsia="zh-CN" w:bidi="ar-SA"/>
              </w:rPr>
              <w:t>第（六）项</w:t>
            </w:r>
          </w:p>
        </w:tc>
      </w:tr>
      <w:tr>
        <w:tblPrEx>
          <w:tblCellMar>
            <w:top w:w="15" w:type="dxa"/>
            <w:left w:w="15" w:type="dxa"/>
            <w:bottom w:w="15" w:type="dxa"/>
            <w:right w:w="15" w:type="dxa"/>
          </w:tblCellMar>
        </w:tblPrEx>
        <w:trPr>
          <w:trHeight w:val="634"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信息内容</w:t>
            </w:r>
          </w:p>
        </w:tc>
        <w:tc>
          <w:tcPr>
            <w:tcW w:w="535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eastAsia" w:ascii="Times New Roman" w:hAnsi="Times New Roman" w:eastAsia="宋体" w:cs="Times New Roman"/>
                <w:color w:val="000000"/>
                <w:kern w:val="0"/>
                <w:sz w:val="20"/>
                <w:szCs w:val="20"/>
                <w:lang w:val="en-US" w:eastAsia="zh-CN" w:bidi="ar-SA"/>
              </w:rPr>
              <w:t>本年</w:t>
            </w:r>
            <w:r>
              <w:rPr>
                <w:rFonts w:hint="default" w:ascii="Times New Roman" w:hAnsi="Times New Roman" w:eastAsia="宋体" w:cs="Times New Roman"/>
                <w:color w:val="000000"/>
                <w:kern w:val="0"/>
                <w:sz w:val="20"/>
                <w:szCs w:val="20"/>
                <w:lang w:val="en-US" w:eastAsia="zh-CN" w:bidi="ar-SA"/>
              </w:rPr>
              <w:t>处理决定数量</w:t>
            </w:r>
          </w:p>
        </w:tc>
      </w:tr>
      <w:tr>
        <w:tblPrEx>
          <w:tblCellMar>
            <w:top w:w="15" w:type="dxa"/>
            <w:left w:w="15" w:type="dxa"/>
            <w:bottom w:w="15" w:type="dxa"/>
            <w:right w:w="15" w:type="dxa"/>
          </w:tblCellMar>
        </w:tblPrEx>
        <w:trPr>
          <w:trHeight w:val="430"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left"/>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行政处罚</w:t>
            </w:r>
          </w:p>
        </w:tc>
        <w:tc>
          <w:tcPr>
            <w:tcW w:w="53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0"/>
                <w:szCs w:val="20"/>
                <w:highlight w:val="none"/>
                <w:lang w:val="en-US" w:eastAsia="zh-CN"/>
              </w:rPr>
            </w:pPr>
            <w:r>
              <w:rPr>
                <w:rFonts w:hint="eastAsia" w:ascii="Times New Roman" w:hAnsi="Times New Roman" w:cs="Times New Roman"/>
                <w:color w:val="auto"/>
                <w:sz w:val="20"/>
                <w:szCs w:val="20"/>
                <w:highlight w:val="none"/>
                <w:lang w:val="en-US" w:eastAsia="zh-CN"/>
              </w:rPr>
              <w:t>6</w:t>
            </w:r>
          </w:p>
        </w:tc>
      </w:tr>
      <w:tr>
        <w:tblPrEx>
          <w:tblCellMar>
            <w:top w:w="15" w:type="dxa"/>
            <w:left w:w="15" w:type="dxa"/>
            <w:bottom w:w="15" w:type="dxa"/>
            <w:right w:w="15" w:type="dxa"/>
          </w:tblCellMar>
        </w:tblPrEx>
        <w:trPr>
          <w:trHeight w:val="409"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left"/>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行政强制</w:t>
            </w:r>
          </w:p>
        </w:tc>
        <w:tc>
          <w:tcPr>
            <w:tcW w:w="53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sz w:val="20"/>
                <w:szCs w:val="20"/>
                <w:highlight w:val="none"/>
              </w:rPr>
            </w:pPr>
            <w:r>
              <w:rPr>
                <w:rFonts w:hint="eastAsia" w:ascii="Times New Roman" w:hAnsi="Times New Roman" w:cs="Times New Roman"/>
                <w:color w:val="auto"/>
                <w:sz w:val="20"/>
                <w:szCs w:val="20"/>
                <w:highlight w:val="none"/>
                <w:lang w:val="en-US" w:eastAsia="zh-CN"/>
              </w:rPr>
              <w:t>0</w:t>
            </w:r>
          </w:p>
        </w:tc>
      </w:tr>
      <w:tr>
        <w:tblPrEx>
          <w:tblCellMar>
            <w:top w:w="15" w:type="dxa"/>
            <w:left w:w="15" w:type="dxa"/>
            <w:bottom w:w="15" w:type="dxa"/>
            <w:right w:w="15" w:type="dxa"/>
          </w:tblCellMar>
        </w:tblPrEx>
        <w:trPr>
          <w:trHeight w:val="474" w:hRule="atLeast"/>
          <w:jc w:val="center"/>
        </w:trPr>
        <w:tc>
          <w:tcPr>
            <w:tcW w:w="8772"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第二十条</w:t>
            </w:r>
            <w:r>
              <w:rPr>
                <w:rFonts w:hint="eastAsia" w:ascii="Times New Roman" w:hAnsi="Times New Roman" w:eastAsia="宋体" w:cs="Times New Roman"/>
                <w:color w:val="000000"/>
                <w:kern w:val="0"/>
                <w:sz w:val="20"/>
                <w:szCs w:val="20"/>
                <w:lang w:val="en-US" w:eastAsia="zh-CN" w:bidi="ar-SA"/>
              </w:rPr>
              <w:t xml:space="preserve"> </w:t>
            </w:r>
            <w:r>
              <w:rPr>
                <w:rFonts w:hint="default" w:ascii="Times New Roman" w:hAnsi="Times New Roman" w:eastAsia="宋体" w:cs="Times New Roman"/>
                <w:color w:val="000000"/>
                <w:kern w:val="0"/>
                <w:sz w:val="20"/>
                <w:szCs w:val="20"/>
                <w:lang w:val="en-US" w:eastAsia="zh-CN" w:bidi="ar-SA"/>
              </w:rPr>
              <w:t>第（八）项</w:t>
            </w:r>
          </w:p>
        </w:tc>
      </w:tr>
      <w:tr>
        <w:tblPrEx>
          <w:tblCellMar>
            <w:top w:w="15" w:type="dxa"/>
            <w:left w:w="15" w:type="dxa"/>
            <w:bottom w:w="15" w:type="dxa"/>
            <w:right w:w="15" w:type="dxa"/>
          </w:tblCellMar>
        </w:tblPrEx>
        <w:trPr>
          <w:trHeight w:val="270"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信息内容</w:t>
            </w:r>
          </w:p>
        </w:tc>
        <w:tc>
          <w:tcPr>
            <w:tcW w:w="5350"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本年</w:t>
            </w:r>
            <w:r>
              <w:rPr>
                <w:rFonts w:hint="eastAsia" w:ascii="Times New Roman" w:hAnsi="Times New Roman" w:eastAsia="宋体" w:cs="Times New Roman"/>
                <w:color w:val="000000"/>
                <w:kern w:val="0"/>
                <w:sz w:val="20"/>
                <w:szCs w:val="20"/>
                <w:lang w:val="en-US" w:eastAsia="zh-CN" w:bidi="ar-SA"/>
              </w:rPr>
              <w:t>收费金额（单位：万元）</w:t>
            </w:r>
          </w:p>
        </w:tc>
      </w:tr>
      <w:tr>
        <w:tblPrEx>
          <w:tblCellMar>
            <w:top w:w="15" w:type="dxa"/>
            <w:left w:w="15" w:type="dxa"/>
            <w:bottom w:w="15" w:type="dxa"/>
            <w:right w:w="15" w:type="dxa"/>
          </w:tblCellMar>
        </w:tblPrEx>
        <w:trPr>
          <w:trHeight w:val="551" w:hRule="atLeast"/>
          <w:jc w:val="center"/>
        </w:trPr>
        <w:tc>
          <w:tcPr>
            <w:tcW w:w="34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left"/>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行政事业性收费</w:t>
            </w:r>
          </w:p>
        </w:tc>
        <w:tc>
          <w:tcPr>
            <w:tcW w:w="5350"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highlight w:val="none"/>
              </w:rPr>
            </w:pPr>
            <w:r>
              <w:rPr>
                <w:rFonts w:hint="default" w:ascii="Times New Roman" w:hAnsi="Times New Roman" w:eastAsia="宋体" w:cs="Times New Roman"/>
                <w:color w:val="auto"/>
                <w:kern w:val="0"/>
                <w:sz w:val="20"/>
                <w:szCs w:val="20"/>
                <w:highlight w:val="none"/>
                <w:lang w:val="en-US" w:eastAsia="zh-CN" w:bidi="ar-SA"/>
              </w:rPr>
              <w:t>0</w:t>
            </w:r>
          </w:p>
        </w:tc>
      </w:tr>
    </w:tbl>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jc w:val="left"/>
        <w:textAlignment w:val="auto"/>
        <w:outlineLvl w:val="9"/>
        <w:rPr>
          <w:rFonts w:hint="default"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r>
        <w:rPr>
          <w:rFonts w:hint="default" w:ascii="黑体" w:hAnsi="黑体" w:eastAsia="黑体" w:cs="黑体"/>
          <w:b w:val="0"/>
          <w:i w:val="0"/>
          <w:snapToGrid/>
          <w:color w:val="auto"/>
          <w:sz w:val="32"/>
          <w:szCs w:val="32"/>
          <w:lang w:val="en-US" w:eastAsia="zh-CN"/>
        </w:rPr>
        <w:t>三、收到和处理政府信息公开申请情况</w:t>
      </w:r>
    </w:p>
    <w:tbl>
      <w:tblPr>
        <w:tblStyle w:val="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829"/>
        <w:gridCol w:w="3555"/>
        <w:gridCol w:w="683"/>
        <w:gridCol w:w="597"/>
        <w:gridCol w:w="635"/>
        <w:gridCol w:w="609"/>
        <w:gridCol w:w="622"/>
        <w:gridCol w:w="587"/>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9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21"/>
                <w:szCs w:val="21"/>
              </w:rPr>
              <w:t>（本列数据的勾稽关系为：第一项加第二项之和，等于第三项加第四项之和）</w:t>
            </w:r>
          </w:p>
        </w:tc>
        <w:tc>
          <w:tcPr>
            <w:tcW w:w="4343" w:type="dxa"/>
            <w:gridSpan w:val="7"/>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9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自然人</w:t>
            </w:r>
          </w:p>
        </w:tc>
        <w:tc>
          <w:tcPr>
            <w:tcW w:w="3050" w:type="dxa"/>
            <w:gridSpan w:val="5"/>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法人或其他组织</w:t>
            </w:r>
          </w:p>
        </w:tc>
        <w:tc>
          <w:tcPr>
            <w:tcW w:w="610"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79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商业企业</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科研机构</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w:t>
            </w:r>
          </w:p>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公益</w:t>
            </w:r>
          </w:p>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组织</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法律</w:t>
            </w:r>
          </w:p>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服务</w:t>
            </w:r>
          </w:p>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机构</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w:t>
            </w:r>
          </w:p>
        </w:tc>
        <w:tc>
          <w:tcPr>
            <w:tcW w:w="6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96" w:type="dxa"/>
            <w:gridSpan w:val="3"/>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一、本年新收政府信息公开申请数量</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96" w:type="dxa"/>
            <w:gridSpan w:val="3"/>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二、上年结转政府信息公开申请数量</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21"/>
                <w:szCs w:val="21"/>
              </w:rPr>
              <w:t>三、本年度办理结果</w:t>
            </w:r>
          </w:p>
        </w:tc>
        <w:tc>
          <w:tcPr>
            <w:tcW w:w="4384"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（一）予以公开</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3</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4384"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eastAsia" w:ascii="Times New Roman" w:hAnsi="Times New Roman" w:eastAsia="方正楷体_GBK" w:cs="Times New Roman"/>
                <w:sz w:val="20"/>
                <w:szCs w:val="20"/>
                <w:lang w:eastAsia="zh-CN"/>
              </w:rPr>
            </w:pPr>
            <w:r>
              <w:rPr>
                <w:rFonts w:hint="default" w:ascii="Times New Roman" w:hAnsi="Times New Roman" w:eastAsia="方正楷体_GBK" w:cs="Times New Roman"/>
                <w:sz w:val="20"/>
                <w:szCs w:val="20"/>
              </w:rPr>
              <w:t>（二）部分公开（区分处理的，只计这一情形，不计其他情形</w:t>
            </w:r>
            <w:r>
              <w:rPr>
                <w:rFonts w:hint="eastAsia" w:ascii="Times New Roman" w:hAnsi="Times New Roman" w:eastAsia="方正楷体_GBK" w:cs="Times New Roman"/>
                <w:sz w:val="20"/>
                <w:szCs w:val="20"/>
                <w:lang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（三）不予公开</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1.属于国家秘密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2.其他法律行政法规禁止公开</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3.危及“三安全一稳定”</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4.保护第三方合法权益</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5.属于三类内部事务信息</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6.属于四类过程性信息</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7.属于行政执法案卷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8.属于行政查询事项</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（四）无法提供</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1.本机关不掌握相关政府信息</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2.没有现成信息需要另行制作</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3.补正后申请内容仍不明确</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（五）不予处理</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1.信访举报投诉类申请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2.重复申请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3.要求提供公开出版物</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4.无正当理由大量反复申请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楷体_GBK" w:cs="Times New Roman"/>
                <w:sz w:val="20"/>
                <w:szCs w:val="20"/>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5.要求行政机关确认或重新出具已获取信息</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（六）其他处理</w:t>
            </w:r>
          </w:p>
        </w:tc>
        <w:tc>
          <w:tcPr>
            <w:tcW w:w="3555" w:type="dxa"/>
            <w:tcBorders>
              <w:top w:val="single" w:color="auto" w:sz="4" w:space="0"/>
              <w:left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lang w:val="en-US" w:eastAsia="zh-CN"/>
              </w:rPr>
            </w:pPr>
            <w:r>
              <w:rPr>
                <w:rFonts w:hint="default" w:ascii="Times New Roman" w:hAnsi="Times New Roman" w:eastAsia="方正楷体_GBK" w:cs="Times New Roman"/>
                <w:sz w:val="20"/>
                <w:szCs w:val="20"/>
                <w:lang w:val="en-US" w:eastAsia="zh-CN"/>
              </w:rPr>
              <w:t>1</w:t>
            </w:r>
            <w:r>
              <w:rPr>
                <w:rFonts w:hint="eastAsia" w:ascii="Times New Roman" w:hAnsi="Times New Roman" w:eastAsia="方正楷体_GBK" w:cs="Times New Roman"/>
                <w:sz w:val="20"/>
                <w:szCs w:val="20"/>
                <w:lang w:val="en-US" w:eastAsia="zh-CN"/>
              </w:rPr>
              <w:t>.申请人无正当理由逾期不补正、行政机关不再处理其他政府信息公开申请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left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p>
        </w:tc>
        <w:tc>
          <w:tcPr>
            <w:tcW w:w="3555" w:type="dxa"/>
            <w:tcBorders>
              <w:left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lang w:val="en-US" w:eastAsia="zh-CN"/>
              </w:rPr>
            </w:pPr>
            <w:r>
              <w:rPr>
                <w:rFonts w:hint="default" w:ascii="Times New Roman" w:hAnsi="Times New Roman" w:eastAsia="方正楷体_GBK" w:cs="Times New Roman"/>
                <w:sz w:val="20"/>
                <w:szCs w:val="20"/>
                <w:lang w:val="en-US" w:eastAsia="zh-CN"/>
              </w:rPr>
              <w:t>2</w:t>
            </w:r>
            <w:r>
              <w:rPr>
                <w:rFonts w:hint="eastAsia" w:ascii="Times New Roman" w:hAnsi="Times New Roman" w:eastAsia="方正楷体_GBK" w:cs="Times New Roman"/>
                <w:sz w:val="20"/>
                <w:szCs w:val="20"/>
                <w:lang w:val="en-US" w:eastAsia="zh-CN"/>
              </w:rPr>
              <w:t>.申请人逾期未按收费通知要求缴纳费用、行政机关不再处理其他政府信息公开申请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829"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p>
        </w:tc>
        <w:tc>
          <w:tcPr>
            <w:tcW w:w="3555" w:type="dxa"/>
            <w:tcBorders>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lang w:val="en-US" w:eastAsia="zh-CN"/>
              </w:rPr>
            </w:pPr>
            <w:r>
              <w:rPr>
                <w:rFonts w:hint="default" w:ascii="Times New Roman" w:hAnsi="Times New Roman" w:eastAsia="方正楷体_GBK" w:cs="Times New Roman"/>
                <w:sz w:val="20"/>
                <w:szCs w:val="20"/>
                <w:lang w:val="en-US" w:eastAsia="zh-CN"/>
              </w:rPr>
              <w:t>3</w:t>
            </w:r>
            <w:r>
              <w:rPr>
                <w:rFonts w:hint="eastAsia" w:ascii="Times New Roman" w:hAnsi="Times New Roman" w:eastAsia="方正楷体_GBK" w:cs="Times New Roman"/>
                <w:sz w:val="20"/>
                <w:szCs w:val="20"/>
                <w:lang w:val="en-US" w:eastAsia="zh-CN"/>
              </w:rPr>
              <w:t>.其他</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700" w:lineRule="exact"/>
              <w:ind w:left="0" w:leftChars="0"/>
              <w:jc w:val="left"/>
              <w:textAlignment w:val="auto"/>
              <w:rPr>
                <w:rFonts w:hint="default" w:ascii="Times New Roman" w:hAnsi="Times New Roman" w:eastAsia="方正仿宋_GBK" w:cs="Times New Roman"/>
                <w:sz w:val="18"/>
                <w:szCs w:val="18"/>
              </w:rPr>
            </w:pPr>
          </w:p>
        </w:tc>
        <w:tc>
          <w:tcPr>
            <w:tcW w:w="4384"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（七）总计</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96" w:type="dxa"/>
            <w:gridSpan w:val="3"/>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21"/>
                <w:szCs w:val="21"/>
              </w:rPr>
              <w:t>四、结转下年度继续办理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0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2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8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6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val="0"/>
              <w:autoSpaceDN/>
              <w:bidi w:val="0"/>
              <w:adjustRightInd/>
              <w:snapToGrid w:val="0"/>
              <w:spacing w:before="0" w:beforeAutospacing="0" w:after="0" w:line="700" w:lineRule="exact"/>
              <w:ind w:left="0" w:lef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bl>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left="0" w:leftChars="0" w:right="0" w:rightChars="0" w:firstLine="640" w:firstLineChars="200"/>
        <w:jc w:val="left"/>
        <w:textAlignment w:val="auto"/>
        <w:outlineLvl w:val="9"/>
        <w:rPr>
          <w:rFonts w:hint="eastAsia"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left="0" w:leftChars="0" w:right="0" w:rightChars="0" w:firstLine="640" w:firstLineChars="200"/>
        <w:jc w:val="left"/>
        <w:textAlignment w:val="auto"/>
        <w:outlineLvl w:val="9"/>
        <w:rPr>
          <w:rFonts w:hint="eastAsia"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left="0" w:leftChars="0" w:right="0" w:rightChars="0" w:firstLine="640" w:firstLineChars="200"/>
        <w:jc w:val="left"/>
        <w:textAlignment w:val="auto"/>
        <w:outlineLvl w:val="9"/>
        <w:rPr>
          <w:rFonts w:hint="eastAsia"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right="0" w:rightChars="0"/>
        <w:jc w:val="left"/>
        <w:textAlignment w:val="auto"/>
        <w:outlineLvl w:val="9"/>
        <w:rPr>
          <w:rFonts w:hint="eastAsia" w:ascii="黑体" w:hAnsi="黑体" w:eastAsia="黑体" w:cs="黑体"/>
          <w:b w:val="0"/>
          <w:i w:val="0"/>
          <w:snapToGrid/>
          <w:color w:val="auto"/>
          <w:sz w:val="32"/>
          <w:szCs w:val="32"/>
          <w:lang w:val="en-US" w:eastAsia="zh-CN"/>
        </w:rPr>
      </w:pPr>
    </w:p>
    <w:p>
      <w:pPr>
        <w:keepNext w:val="0"/>
        <w:keepLines w:val="0"/>
        <w:pageBreakBefore w:val="0"/>
        <w:widowControl w:val="0"/>
        <w:tabs>
          <w:tab w:val="left" w:pos="425"/>
        </w:tabs>
        <w:kinsoku/>
        <w:wordWrap/>
        <w:overflowPunct/>
        <w:topLinePunct w:val="0"/>
        <w:autoSpaceDE/>
        <w:autoSpaceDN w:val="0"/>
        <w:bidi w:val="0"/>
        <w:adjustRightInd/>
        <w:snapToGrid/>
        <w:spacing w:line="700" w:lineRule="exact"/>
        <w:ind w:left="0" w:leftChars="0" w:right="0" w:rightChars="0" w:firstLine="640" w:firstLineChars="200"/>
        <w:jc w:val="left"/>
        <w:textAlignment w:val="auto"/>
        <w:outlineLvl w:val="9"/>
        <w:rPr>
          <w:rFonts w:hint="default" w:ascii="黑体" w:hAnsi="黑体" w:eastAsia="黑体" w:cs="黑体"/>
          <w:b w:val="0"/>
          <w:i w:val="0"/>
          <w:snapToGrid/>
          <w:color w:val="auto"/>
          <w:sz w:val="32"/>
          <w:szCs w:val="32"/>
          <w:lang w:val="en-US" w:eastAsia="zh-CN"/>
        </w:rPr>
      </w:pPr>
      <w:r>
        <w:rPr>
          <w:rFonts w:hint="eastAsia" w:ascii="黑体" w:hAnsi="黑体" w:eastAsia="黑体" w:cs="黑体"/>
          <w:b w:val="0"/>
          <w:i w:val="0"/>
          <w:snapToGrid/>
          <w:color w:val="auto"/>
          <w:sz w:val="32"/>
          <w:szCs w:val="32"/>
          <w:lang w:val="en-US" w:eastAsia="zh-CN"/>
        </w:rPr>
        <w:t>四、</w:t>
      </w:r>
      <w:r>
        <w:rPr>
          <w:rFonts w:hint="default" w:ascii="黑体" w:hAnsi="黑体" w:eastAsia="黑体" w:cs="黑体"/>
          <w:b w:val="0"/>
          <w:i w:val="0"/>
          <w:snapToGrid/>
          <w:color w:val="auto"/>
          <w:sz w:val="32"/>
          <w:szCs w:val="32"/>
          <w:lang w:val="en-US" w:eastAsia="zh-CN"/>
        </w:rPr>
        <w:t>政府信息公开行政复议、行政诉讼情</w:t>
      </w:r>
      <w:r>
        <w:rPr>
          <w:rFonts w:hint="eastAsia" w:ascii="黑体" w:hAnsi="黑体" w:eastAsia="黑体" w:cs="黑体"/>
          <w:b w:val="0"/>
          <w:i w:val="0"/>
          <w:snapToGrid/>
          <w:color w:val="auto"/>
          <w:sz w:val="32"/>
          <w:szCs w:val="32"/>
          <w:lang w:val="en-US" w:eastAsia="zh-CN"/>
        </w:rPr>
        <w:t>况</w:t>
      </w:r>
    </w:p>
    <w:tbl>
      <w:tblPr>
        <w:tblStyle w:val="8"/>
        <w:tblW w:w="87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92"/>
        <w:gridCol w:w="585"/>
        <w:gridCol w:w="585"/>
        <w:gridCol w:w="559"/>
        <w:gridCol w:w="531"/>
        <w:gridCol w:w="550"/>
        <w:gridCol w:w="605"/>
        <w:gridCol w:w="605"/>
        <w:gridCol w:w="605"/>
        <w:gridCol w:w="605"/>
        <w:gridCol w:w="605"/>
        <w:gridCol w:w="605"/>
        <w:gridCol w:w="605"/>
        <w:gridCol w:w="606"/>
        <w:gridCol w:w="5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2752"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行政复议</w:t>
            </w:r>
          </w:p>
        </w:tc>
        <w:tc>
          <w:tcPr>
            <w:tcW w:w="597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49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结果维持</w:t>
            </w:r>
          </w:p>
        </w:tc>
        <w:tc>
          <w:tcPr>
            <w:tcW w:w="58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结果纠正</w:t>
            </w:r>
          </w:p>
        </w:tc>
        <w:tc>
          <w:tcPr>
            <w:tcW w:w="58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其他结果</w:t>
            </w:r>
          </w:p>
        </w:tc>
        <w:tc>
          <w:tcPr>
            <w:tcW w:w="55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尚未审结</w:t>
            </w:r>
          </w:p>
        </w:tc>
        <w:tc>
          <w:tcPr>
            <w:tcW w:w="531"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总计</w:t>
            </w:r>
          </w:p>
        </w:tc>
        <w:tc>
          <w:tcPr>
            <w:tcW w:w="297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未经复议直接起诉</w:t>
            </w:r>
          </w:p>
        </w:tc>
        <w:tc>
          <w:tcPr>
            <w:tcW w:w="300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3" w:hRule="atLeast"/>
          <w:jc w:val="center"/>
        </w:trPr>
        <w:tc>
          <w:tcPr>
            <w:tcW w:w="492"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tabs>
                <w:tab w:val="left" w:pos="425"/>
              </w:tabs>
              <w:kinsoku/>
              <w:wordWrap/>
              <w:overflowPunct/>
              <w:topLinePunct w:val="0"/>
              <w:autoSpaceDE/>
              <w:autoSpaceDN/>
              <w:bidi w:val="0"/>
              <w:adjustRightInd/>
              <w:snapToGrid/>
              <w:spacing w:line="700" w:lineRule="exact"/>
              <w:ind w:left="0" w:leftChars="0" w:right="0" w:rightChars="0" w:firstLine="0" w:firstLineChars="0"/>
              <w:textAlignment w:val="auto"/>
              <w:outlineLvl w:val="9"/>
              <w:rPr>
                <w:rFonts w:hint="default" w:ascii="Times New Roman" w:hAnsi="Times New Roman" w:cs="Times New Roman"/>
                <w:color w:val="000000"/>
                <w:sz w:val="24"/>
                <w:szCs w:val="24"/>
              </w:rPr>
            </w:pPr>
          </w:p>
        </w:tc>
        <w:tc>
          <w:tcPr>
            <w:tcW w:w="585"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tabs>
                <w:tab w:val="left" w:pos="425"/>
              </w:tabs>
              <w:kinsoku/>
              <w:wordWrap/>
              <w:overflowPunct/>
              <w:topLinePunct w:val="0"/>
              <w:autoSpaceDE/>
              <w:autoSpaceDN/>
              <w:bidi w:val="0"/>
              <w:adjustRightInd/>
              <w:snapToGrid/>
              <w:spacing w:line="700" w:lineRule="exact"/>
              <w:ind w:left="0" w:leftChars="0" w:right="0" w:rightChars="0" w:firstLine="0" w:firstLineChars="0"/>
              <w:textAlignment w:val="auto"/>
              <w:outlineLvl w:val="9"/>
              <w:rPr>
                <w:rFonts w:hint="default" w:ascii="Times New Roman" w:hAnsi="Times New Roman" w:cs="Times New Roman"/>
                <w:color w:val="000000"/>
                <w:sz w:val="24"/>
                <w:szCs w:val="24"/>
              </w:rPr>
            </w:pPr>
          </w:p>
        </w:tc>
        <w:tc>
          <w:tcPr>
            <w:tcW w:w="585"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tabs>
                <w:tab w:val="left" w:pos="425"/>
              </w:tabs>
              <w:kinsoku/>
              <w:wordWrap/>
              <w:overflowPunct/>
              <w:topLinePunct w:val="0"/>
              <w:autoSpaceDE/>
              <w:autoSpaceDN/>
              <w:bidi w:val="0"/>
              <w:adjustRightInd/>
              <w:snapToGrid/>
              <w:spacing w:line="700" w:lineRule="exact"/>
              <w:ind w:left="0" w:leftChars="0" w:right="0" w:rightChars="0" w:firstLine="0" w:firstLineChars="0"/>
              <w:textAlignment w:val="auto"/>
              <w:outlineLvl w:val="9"/>
              <w:rPr>
                <w:rFonts w:hint="default" w:ascii="Times New Roman" w:hAnsi="Times New Roman" w:cs="Times New Roman"/>
                <w:color w:val="000000"/>
                <w:sz w:val="24"/>
                <w:szCs w:val="24"/>
              </w:rPr>
            </w:pPr>
          </w:p>
        </w:tc>
        <w:tc>
          <w:tcPr>
            <w:tcW w:w="559"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tabs>
                <w:tab w:val="left" w:pos="425"/>
              </w:tabs>
              <w:kinsoku/>
              <w:wordWrap/>
              <w:overflowPunct/>
              <w:topLinePunct w:val="0"/>
              <w:autoSpaceDE/>
              <w:autoSpaceDN/>
              <w:bidi w:val="0"/>
              <w:adjustRightInd/>
              <w:snapToGrid/>
              <w:spacing w:line="700" w:lineRule="exact"/>
              <w:ind w:left="0" w:leftChars="0" w:right="0" w:rightChars="0" w:firstLine="0" w:firstLineChars="0"/>
              <w:textAlignment w:val="auto"/>
              <w:outlineLvl w:val="9"/>
              <w:rPr>
                <w:rFonts w:hint="default" w:ascii="Times New Roman" w:hAnsi="Times New Roman" w:cs="Times New Roman"/>
                <w:color w:val="000000"/>
                <w:sz w:val="24"/>
                <w:szCs w:val="24"/>
              </w:rPr>
            </w:pPr>
          </w:p>
        </w:tc>
        <w:tc>
          <w:tcPr>
            <w:tcW w:w="531"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tabs>
                <w:tab w:val="left" w:pos="425"/>
              </w:tabs>
              <w:kinsoku/>
              <w:wordWrap/>
              <w:overflowPunct/>
              <w:topLinePunct w:val="0"/>
              <w:autoSpaceDE/>
              <w:autoSpaceDN/>
              <w:bidi w:val="0"/>
              <w:adjustRightInd/>
              <w:snapToGrid/>
              <w:spacing w:line="700" w:lineRule="exact"/>
              <w:ind w:left="0" w:leftChars="0" w:right="0" w:rightChars="0" w:firstLine="0" w:firstLineChars="0"/>
              <w:textAlignment w:val="auto"/>
              <w:outlineLvl w:val="9"/>
              <w:rPr>
                <w:rFonts w:hint="default" w:ascii="Times New Roman" w:hAnsi="Times New Roman" w:cs="Times New Roman"/>
                <w:color w:val="000000"/>
                <w:sz w:val="24"/>
                <w:szCs w:val="24"/>
              </w:rPr>
            </w:pPr>
          </w:p>
        </w:tc>
        <w:tc>
          <w:tcPr>
            <w:tcW w:w="5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结果维持</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结果纠正</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其他结果</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尚未审结</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总计</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结果维持</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结果纠正</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其他结果</w:t>
            </w:r>
          </w:p>
        </w:tc>
        <w:tc>
          <w:tcPr>
            <w:tcW w:w="6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尚未审结</w:t>
            </w:r>
          </w:p>
        </w:tc>
        <w:tc>
          <w:tcPr>
            <w:tcW w:w="5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4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仿宋_GB2312" w:cs="Times New Roman"/>
                <w:color w:val="000000"/>
                <w:kern w:val="0"/>
                <w:sz w:val="20"/>
                <w:szCs w:val="20"/>
                <w:lang w:val="en-US" w:eastAsia="zh-CN" w:bidi="ar-SA"/>
              </w:rPr>
              <w:t>0</w:t>
            </w:r>
          </w:p>
        </w:tc>
        <w:tc>
          <w:tcPr>
            <w:tcW w:w="5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eastAsia" w:ascii="Times New Roman" w:hAnsi="Times New Roman" w:cs="Times New Roman"/>
                <w:color w:val="000000"/>
                <w:kern w:val="0"/>
                <w:sz w:val="20"/>
                <w:szCs w:val="20"/>
                <w:lang w:val="en-US" w:eastAsia="zh-CN" w:bidi="ar-SA"/>
              </w:rPr>
              <w:t>0</w:t>
            </w:r>
          </w:p>
        </w:tc>
        <w:tc>
          <w:tcPr>
            <w:tcW w:w="5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default" w:ascii="Times New Roman" w:hAnsi="Times New Roman" w:eastAsia="仿宋_GB2312" w:cs="Times New Roman"/>
                <w:color w:val="000000"/>
                <w:kern w:val="0"/>
                <w:sz w:val="20"/>
                <w:szCs w:val="20"/>
                <w:lang w:val="en-US" w:eastAsia="zh-CN" w:bidi="ar-SA"/>
              </w:rPr>
              <w:t>0</w:t>
            </w:r>
          </w:p>
        </w:tc>
        <w:tc>
          <w:tcPr>
            <w:tcW w:w="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default" w:ascii="Times New Roman" w:hAnsi="Times New Roman" w:eastAsia="仿宋_GB2312" w:cs="Times New Roman"/>
                <w:color w:val="000000"/>
                <w:kern w:val="0"/>
                <w:sz w:val="20"/>
                <w:szCs w:val="20"/>
                <w:lang w:val="en-US" w:eastAsia="zh-CN" w:bidi="ar-SA"/>
              </w:rPr>
              <w:t>0</w:t>
            </w:r>
          </w:p>
        </w:tc>
        <w:tc>
          <w:tcPr>
            <w:tcW w:w="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default" w:ascii="Times New Roman" w:hAnsi="Times New Roman" w:eastAsia="仿宋_GB2312" w:cs="Times New Roman"/>
                <w:color w:val="000000"/>
                <w:kern w:val="0"/>
                <w:sz w:val="20"/>
                <w:szCs w:val="20"/>
                <w:lang w:val="en-US" w:eastAsia="zh-CN" w:bidi="ar-SA"/>
              </w:rPr>
              <w:t>0</w:t>
            </w:r>
          </w:p>
        </w:tc>
        <w:tc>
          <w:tcPr>
            <w:tcW w:w="5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0</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0</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0"/>
                <w:szCs w:val="20"/>
                <w:lang w:val="en-US" w:eastAsia="zh-CN" w:bidi="ar-SA"/>
              </w:rPr>
              <w:t>0</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eastAsia" w:ascii="Times New Roman" w:hAnsi="Times New Roman" w:eastAsia="宋体" w:cs="Times New Roman"/>
                <w:color w:val="000000"/>
                <w:kern w:val="0"/>
                <w:sz w:val="20"/>
                <w:szCs w:val="20"/>
                <w:lang w:val="en-US" w:eastAsia="zh-CN" w:bidi="ar-SA"/>
              </w:rPr>
              <w:t>1</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eastAsia" w:ascii="Times New Roman" w:hAnsi="Times New Roman" w:eastAsia="宋体" w:cs="Times New Roman"/>
                <w:color w:val="000000"/>
                <w:kern w:val="0"/>
                <w:sz w:val="20"/>
                <w:szCs w:val="20"/>
                <w:lang w:val="en-US" w:eastAsia="zh-CN" w:bidi="ar-SA"/>
              </w:rPr>
              <w:t>1</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0"/>
                <w:szCs w:val="20"/>
                <w:lang w:val="en-US" w:eastAsia="zh-CN" w:bidi="ar-SA"/>
              </w:rPr>
              <w:t>0</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SA"/>
              </w:rPr>
              <w:t>0</w:t>
            </w:r>
          </w:p>
        </w:tc>
        <w:tc>
          <w:tcPr>
            <w:tcW w:w="6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0"/>
                <w:szCs w:val="20"/>
                <w:lang w:val="en-US" w:eastAsia="zh-CN" w:bidi="ar-SA"/>
              </w:rPr>
              <w:t>0</w:t>
            </w:r>
          </w:p>
        </w:tc>
        <w:tc>
          <w:tcPr>
            <w:tcW w:w="6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val="en-US" w:eastAsia="zh-CN" w:bidi="ar-SA"/>
              </w:rPr>
              <w:t>0</w:t>
            </w:r>
          </w:p>
        </w:tc>
        <w:tc>
          <w:tcPr>
            <w:tcW w:w="5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lang w:val="en-US" w:eastAsia="zh-CN" w:bidi="ar-SA"/>
              </w:rPr>
              <w:t>0</w:t>
            </w:r>
          </w:p>
        </w:tc>
      </w:tr>
    </w:tbl>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640" w:firstLineChars="200"/>
        <w:textAlignment w:val="baseline"/>
        <w:rPr>
          <w:rFonts w:hint="eastAsia" w:ascii="黑体" w:hAnsi="黑体" w:eastAsia="黑体" w:cs="黑体"/>
          <w:b w:val="0"/>
          <w:i w:val="0"/>
          <w:snapToGrid/>
          <w:color w:val="auto"/>
          <w:kern w:val="2"/>
          <w:sz w:val="32"/>
          <w:szCs w:val="32"/>
          <w:lang w:val="en-US" w:eastAsia="zh-CN"/>
        </w:rPr>
      </w:pPr>
      <w:r>
        <w:rPr>
          <w:rFonts w:hint="eastAsia" w:ascii="黑体" w:hAnsi="黑体" w:eastAsia="黑体" w:cs="黑体"/>
          <w:b w:val="0"/>
          <w:i w:val="0"/>
          <w:snapToGrid/>
          <w:color w:val="auto"/>
          <w:kern w:val="2"/>
          <w:sz w:val="32"/>
          <w:szCs w:val="32"/>
          <w:lang w:val="en-US" w:eastAsia="zh-CN"/>
        </w:rPr>
        <w:t>五、存在的主要问题及改进情况</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2024年度，我局</w:t>
      </w:r>
      <w:r>
        <w:rPr>
          <w:rFonts w:hint="default" w:ascii="Times New Roman" w:hAnsi="Times New Roman" w:eastAsia="仿宋_GB2312" w:cs="Times New Roman"/>
          <w:kern w:val="2"/>
          <w:sz w:val="32"/>
          <w:szCs w:val="32"/>
          <w:lang w:val="en-US" w:eastAsia="zh-CN" w:bidi="ar-SA"/>
        </w:rPr>
        <w:t>在政府信息公开工作方面取得了一定的成绩，但仍存在一些问题和不足。主要包括：一是信息公开的时效性有待加强；三是政务公开工作的干部队伍需要加强，内部协调配合有待提高。</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下一步，宿城区水利局</w:t>
      </w:r>
      <w:r>
        <w:rPr>
          <w:rFonts w:hint="default" w:ascii="Times New Roman" w:hAnsi="Times New Roman" w:eastAsia="仿宋_GB2312" w:cs="Times New Roman"/>
          <w:kern w:val="2"/>
          <w:sz w:val="32"/>
          <w:szCs w:val="32"/>
          <w:lang w:val="en-US" w:eastAsia="zh-CN" w:bidi="ar-SA"/>
        </w:rPr>
        <w:t>将继续坚持以人民为中心的发展思想，不断加强政</w:t>
      </w:r>
      <w:bookmarkStart w:id="0" w:name="_GoBack"/>
      <w:bookmarkEnd w:id="0"/>
      <w:r>
        <w:rPr>
          <w:rFonts w:hint="default" w:ascii="Times New Roman" w:hAnsi="Times New Roman" w:eastAsia="仿宋_GB2312" w:cs="Times New Roman"/>
          <w:kern w:val="2"/>
          <w:sz w:val="32"/>
          <w:szCs w:val="32"/>
          <w:lang w:val="en-US" w:eastAsia="zh-CN" w:bidi="ar-SA"/>
        </w:rPr>
        <w:t>府信息公开工作，提高工作透明度和公信力，为水利事业的持续发展提供有力保障。一是加强制度建设，完善信息公开流程，确保信息的及时、准确公开；二是加强信息解读工作，提高信息的可读性和易懂性；三是加强培训和学习，</w:t>
      </w:r>
      <w:r>
        <w:rPr>
          <w:rFonts w:hint="eastAsia" w:ascii="Times New Roman" w:hAnsi="Times New Roman" w:cs="Times New Roman"/>
          <w:kern w:val="2"/>
          <w:sz w:val="32"/>
          <w:szCs w:val="32"/>
          <w:lang w:val="en-US" w:eastAsia="zh-CN" w:bidi="ar-SA"/>
        </w:rPr>
        <w:t>增强</w:t>
      </w:r>
      <w:r>
        <w:rPr>
          <w:rFonts w:hint="default" w:ascii="Times New Roman" w:hAnsi="Times New Roman" w:eastAsia="仿宋_GB2312" w:cs="Times New Roman"/>
          <w:kern w:val="2"/>
          <w:sz w:val="32"/>
          <w:szCs w:val="32"/>
          <w:lang w:val="en-US" w:eastAsia="zh-CN" w:bidi="ar-SA"/>
        </w:rPr>
        <w:t>工作人员的政务公开意识和能力。</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baseline"/>
        <w:rPr>
          <w:rFonts w:hint="eastAsia" w:ascii="黑体" w:hAnsi="宋体" w:eastAsia="黑体" w:cs="黑体"/>
          <w:i w:val="0"/>
          <w:iCs w:val="0"/>
          <w:caps w:val="0"/>
          <w:color w:val="000000"/>
          <w:spacing w:val="0"/>
          <w:sz w:val="32"/>
          <w:szCs w:val="32"/>
          <w:u w:val="none"/>
          <w:shd w:val="clear" w:fill="FFFFFF"/>
          <w:vertAlign w:val="baseline"/>
        </w:rPr>
      </w:pPr>
      <w:r>
        <w:rPr>
          <w:rFonts w:hint="eastAsia" w:ascii="黑体" w:hAnsi="黑体" w:eastAsia="黑体" w:cs="黑体"/>
          <w:b w:val="0"/>
          <w:i w:val="0"/>
          <w:snapToGrid/>
          <w:color w:val="auto"/>
          <w:kern w:val="2"/>
          <w:sz w:val="32"/>
          <w:szCs w:val="32"/>
          <w:lang w:val="en-US" w:eastAsia="zh-CN"/>
        </w:rPr>
        <w:t>六、</w:t>
      </w:r>
      <w:r>
        <w:rPr>
          <w:rFonts w:hint="eastAsia" w:ascii="黑体" w:hAnsi="宋体" w:eastAsia="黑体" w:cs="黑体"/>
          <w:i w:val="0"/>
          <w:iCs w:val="0"/>
          <w:caps w:val="0"/>
          <w:color w:val="000000"/>
          <w:spacing w:val="0"/>
          <w:sz w:val="32"/>
          <w:szCs w:val="32"/>
          <w:u w:val="none"/>
          <w:shd w:val="clear" w:fill="FFFFFF"/>
          <w:vertAlign w:val="baseline"/>
        </w:rPr>
        <w:t>其他需要报告的事项</w:t>
      </w:r>
    </w:p>
    <w:p>
      <w:pPr>
        <w:pStyle w:val="5"/>
        <w:keepNext w:val="0"/>
        <w:keepLines w:val="0"/>
        <w:pageBreakBefore w:val="0"/>
        <w:widowControl w:val="0"/>
        <w:kinsoku/>
        <w:wordWrap w:val="0"/>
        <w:overflowPunct/>
        <w:topLinePunct w:val="0"/>
        <w:autoSpaceDE/>
        <w:autoSpaceDN/>
        <w:bidi w:val="0"/>
        <w:adjustRightInd/>
        <w:snapToGrid/>
        <w:spacing w:beforeAutospacing="0" w:after="0" w:line="560" w:lineRule="exact"/>
        <w:ind w:left="0" w:leftChars="0"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w:t>
      </w:r>
      <w:r>
        <w:rPr>
          <w:rFonts w:hint="eastAsia" w:ascii="Times New Roman" w:hAnsi="Times New Roman" w:cs="Times New Roman"/>
          <w:kern w:val="2"/>
          <w:sz w:val="32"/>
          <w:szCs w:val="32"/>
          <w:lang w:val="en-US" w:eastAsia="zh-CN" w:bidi="ar-SA"/>
        </w:rPr>
        <w:t>，我局向公民、法人和其他组织提供政府信息暂未收费。</w:t>
      </w:r>
    </w:p>
    <w:p>
      <w:pPr>
        <w:pStyle w:val="5"/>
        <w:keepNext w:val="0"/>
        <w:keepLines w:val="0"/>
        <w:pageBreakBefore w:val="0"/>
        <w:kinsoku/>
        <w:wordWrap w:val="0"/>
        <w:overflowPunct/>
        <w:topLinePunct w:val="0"/>
        <w:bidi w:val="0"/>
        <w:adjustRightInd/>
        <w:spacing w:after="0" w:line="700" w:lineRule="exact"/>
        <w:ind w:left="0" w:leftChars="0"/>
        <w:jc w:val="righ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宿迁市宿城区水利局</w:t>
      </w:r>
    </w:p>
    <w:p>
      <w:pPr>
        <w:pStyle w:val="5"/>
        <w:keepNext w:val="0"/>
        <w:keepLines w:val="0"/>
        <w:pageBreakBefore w:val="0"/>
        <w:widowControl w:val="0"/>
        <w:kinsoku/>
        <w:wordWrap/>
        <w:overflowPunct/>
        <w:topLinePunct w:val="0"/>
        <w:autoSpaceDE/>
        <w:autoSpaceDN/>
        <w:bidi w:val="0"/>
        <w:adjustRightInd/>
        <w:snapToGrid/>
        <w:spacing w:line="560" w:lineRule="exact"/>
        <w:ind w:firstLine="5440" w:firstLineChars="1700"/>
        <w:jc w:val="right"/>
        <w:textAlignment w:val="baseline"/>
        <w:rPr>
          <w:rFonts w:hint="default" w:ascii="Times New Roman" w:hAnsi="Times New Roman"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月</w:t>
      </w:r>
      <w:r>
        <w:rPr>
          <w:rFonts w:hint="eastAsia" w:ascii="Times New Roman" w:hAnsi="Times New Roman" w:cs="Times New Roman"/>
          <w:color w:val="auto"/>
          <w:sz w:val="32"/>
          <w:szCs w:val="32"/>
          <w:lang w:val="en-US" w:eastAsia="zh-CN"/>
        </w:rPr>
        <w:t>14</w:t>
      </w:r>
      <w:r>
        <w:rPr>
          <w:rFonts w:hint="eastAsia" w:ascii="Times New Roman" w:hAnsi="Times New Roman" w:eastAsia="仿宋_GB2312" w:cs="Times New Roman"/>
          <w:color w:val="auto"/>
          <w:sz w:val="32"/>
          <w:szCs w:val="32"/>
          <w:lang w:val="en-US" w:eastAsia="zh-CN"/>
        </w:rPr>
        <w:t>日</w:t>
      </w:r>
    </w:p>
    <w:p/>
    <w:sectPr>
      <w:pgSz w:w="11906" w:h="16838"/>
      <w:pgMar w:top="1043" w:right="1746" w:bottom="1157" w:left="174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WRiZmE3ODg2MGNhMjNkMDgxOWJlNGY2YTU5OTgifQ=="/>
  </w:docVars>
  <w:rsids>
    <w:rsidRoot w:val="4A1947CF"/>
    <w:rsid w:val="0ADB3ECC"/>
    <w:rsid w:val="0CCD6873"/>
    <w:rsid w:val="120022FC"/>
    <w:rsid w:val="170746C1"/>
    <w:rsid w:val="1F7B4B1C"/>
    <w:rsid w:val="27CDBC79"/>
    <w:rsid w:val="28EC1992"/>
    <w:rsid w:val="2DB53988"/>
    <w:rsid w:val="2FD86FED"/>
    <w:rsid w:val="42441766"/>
    <w:rsid w:val="4A1947CF"/>
    <w:rsid w:val="58183A89"/>
    <w:rsid w:val="583A6B73"/>
    <w:rsid w:val="587138A3"/>
    <w:rsid w:val="59070DA2"/>
    <w:rsid w:val="5A135DC5"/>
    <w:rsid w:val="5AEDB594"/>
    <w:rsid w:val="5F7B3B2C"/>
    <w:rsid w:val="670225A1"/>
    <w:rsid w:val="6FCCDA02"/>
    <w:rsid w:val="6FF91DC3"/>
    <w:rsid w:val="70392DA9"/>
    <w:rsid w:val="70433D9F"/>
    <w:rsid w:val="755C8999"/>
    <w:rsid w:val="79F0A6B6"/>
    <w:rsid w:val="7BCBB000"/>
    <w:rsid w:val="7E0E1185"/>
    <w:rsid w:val="7FDF8AE6"/>
    <w:rsid w:val="A75E3BFA"/>
    <w:rsid w:val="BFEF5E94"/>
    <w:rsid w:val="BFFD5803"/>
    <w:rsid w:val="CFDFCF2E"/>
    <w:rsid w:val="CFFBE815"/>
    <w:rsid w:val="DDEEDBC7"/>
    <w:rsid w:val="EBFFA90C"/>
    <w:rsid w:val="EFF70979"/>
    <w:rsid w:val="F77D6948"/>
    <w:rsid w:val="F7AFFEB3"/>
    <w:rsid w:val="FB73BB94"/>
    <w:rsid w:val="FF99E53B"/>
    <w:rsid w:val="FFEB9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5"/>
    <w:qFormat/>
    <w:uiPriority w:val="0"/>
    <w:pPr>
      <w:tabs>
        <w:tab w:val="left" w:pos="425"/>
      </w:tabs>
      <w:ind w:firstLine="420" w:firstLineChars="200"/>
    </w:pPr>
  </w:style>
  <w:style w:type="paragraph" w:customStyle="1" w:styleId="3">
    <w:name w:val="BodyTextIndent"/>
    <w:basedOn w:val="1"/>
    <w:next w:val="4"/>
    <w:qFormat/>
    <w:uiPriority w:val="0"/>
    <w:pPr>
      <w:tabs>
        <w:tab w:val="left" w:pos="425"/>
      </w:tabs>
      <w:spacing w:after="120"/>
      <w:ind w:left="420" w:leftChars="200"/>
      <w:textAlignment w:val="baseline"/>
    </w:pPr>
    <w:rPr>
      <w:rFonts w:ascii="Calibri" w:hAnsi="Calibri"/>
    </w:rPr>
  </w:style>
  <w:style w:type="paragraph" w:customStyle="1" w:styleId="4">
    <w:name w:val="NormalIndent"/>
    <w:basedOn w:val="1"/>
    <w:qFormat/>
    <w:uiPriority w:val="0"/>
    <w:pPr>
      <w:tabs>
        <w:tab w:val="left" w:pos="425"/>
      </w:tabs>
      <w:ind w:firstLine="420" w:firstLineChars="200"/>
      <w:textAlignment w:val="baseline"/>
    </w:pPr>
    <w:rPr>
      <w:rFonts w:ascii="Calibri" w:hAnsi="Calibri" w:eastAsia="仿宋"/>
      <w:sz w:val="32"/>
    </w:rPr>
  </w:style>
  <w:style w:type="paragraph" w:customStyle="1" w:styleId="5">
    <w:name w:val="BodyText1I"/>
    <w:basedOn w:val="6"/>
    <w:qFormat/>
    <w:uiPriority w:val="0"/>
    <w:pPr>
      <w:tabs>
        <w:tab w:val="left" w:pos="425"/>
      </w:tabs>
      <w:ind w:firstLine="420" w:firstLineChars="100"/>
    </w:pPr>
  </w:style>
  <w:style w:type="paragraph" w:customStyle="1" w:styleId="6">
    <w:name w:val="BodyText"/>
    <w:basedOn w:val="1"/>
    <w:next w:val="1"/>
    <w:qFormat/>
    <w:uiPriority w:val="0"/>
    <w:pPr>
      <w:tabs>
        <w:tab w:val="left" w:pos="425"/>
      </w:tabs>
      <w:spacing w:after="120"/>
      <w:textAlignment w:val="baseline"/>
    </w:pPr>
  </w:style>
  <w:style w:type="paragraph" w:styleId="7">
    <w:name w:val="Body Text"/>
    <w:basedOn w:val="1"/>
    <w:next w:val="1"/>
    <w:qFormat/>
    <w:uiPriority w:val="0"/>
    <w:pPr>
      <w:spacing w:after="12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小新新新</cp:lastModifiedBy>
  <dcterms:modified xsi:type="dcterms:W3CDTF">2025-01-24T02:28:41Z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E7CF0C74C3184090A215F5026067F58E_12</vt:lpwstr>
  </property>
</Properties>
</file>