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rPr>
        <w:t>宿城区202</w:t>
      </w:r>
      <w:r>
        <w:rPr>
          <w:rFonts w:hint="default" w:ascii="Times New Roman" w:hAnsi="Times New Roman" w:eastAsia="方正小标宋简体" w:cs="Times New Roman"/>
          <w:color w:val="auto"/>
          <w:sz w:val="36"/>
          <w:szCs w:val="36"/>
          <w:lang w:val="en-US"/>
        </w:rPr>
        <w:t>1</w:t>
      </w:r>
      <w:r>
        <w:rPr>
          <w:rFonts w:hint="default" w:ascii="Times New Roman" w:hAnsi="Times New Roman" w:eastAsia="方正小标宋简体" w:cs="Times New Roman"/>
          <w:color w:val="auto"/>
          <w:sz w:val="36"/>
          <w:szCs w:val="36"/>
        </w:rPr>
        <w:t>年国民经济和社会发展统计公报</w:t>
      </w:r>
    </w:p>
    <w:p>
      <w:pPr>
        <w:spacing w:after="0" w:line="560" w:lineRule="exact"/>
        <w:ind w:firstLine="640" w:firstLineChars="200"/>
        <w:jc w:val="both"/>
        <w:rPr>
          <w:rFonts w:hint="default" w:ascii="Times New Roman" w:hAnsi="Times New Roman" w:eastAsia="微软雅黑" w:cs="Times New Roman"/>
          <w:color w:val="auto"/>
          <w:sz w:val="32"/>
          <w:szCs w:val="32"/>
          <w:lang w:eastAsia="zh-CN"/>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rPr>
        <w:t>1</w:t>
      </w:r>
      <w:r>
        <w:rPr>
          <w:rFonts w:hint="default" w:ascii="Times New Roman" w:hAnsi="Times New Roman" w:eastAsia="仿宋_GB2312" w:cs="Times New Roman"/>
          <w:color w:val="auto"/>
          <w:sz w:val="32"/>
          <w:szCs w:val="32"/>
        </w:rPr>
        <w:t>年，在区委区政府的坚强领导下，</w:t>
      </w:r>
      <w:r>
        <w:rPr>
          <w:rFonts w:hint="eastAsia" w:ascii="Times New Roman" w:hAnsi="Times New Roman" w:eastAsia="仿宋_GB2312" w:cs="Times New Roman"/>
          <w:color w:val="auto"/>
          <w:sz w:val="32"/>
          <w:szCs w:val="32"/>
          <w:lang w:eastAsia="zh-CN"/>
        </w:rPr>
        <w:t>全区上下</w:t>
      </w:r>
      <w:r>
        <w:rPr>
          <w:rFonts w:hint="default" w:ascii="Times New Roman" w:hAnsi="Times New Roman" w:eastAsia="仿宋_GB2312" w:cs="Times New Roman"/>
          <w:color w:val="auto"/>
          <w:sz w:val="32"/>
          <w:szCs w:val="32"/>
        </w:rPr>
        <w:t>认真贯彻落实中央、省、市决策部署，</w:t>
      </w:r>
      <w:r>
        <w:rPr>
          <w:rFonts w:hint="eastAsia" w:ascii="Times New Roman" w:hAnsi="Times New Roman" w:eastAsia="仿宋_GB2312" w:cs="Times New Roman"/>
          <w:color w:val="auto"/>
          <w:sz w:val="32"/>
          <w:szCs w:val="32"/>
          <w:lang w:eastAsia="zh-CN"/>
        </w:rPr>
        <w:t>坚持稳中求进工作总基调，</w:t>
      </w:r>
      <w:r>
        <w:rPr>
          <w:rFonts w:hint="default" w:ascii="Times New Roman" w:hAnsi="Times New Roman" w:eastAsia="仿宋_GB2312" w:cs="Times New Roman"/>
          <w:color w:val="auto"/>
          <w:sz w:val="32"/>
          <w:szCs w:val="32"/>
        </w:rPr>
        <w:t>持续做好“六稳”“六保”工作，经济运行</w:t>
      </w:r>
      <w:r>
        <w:rPr>
          <w:rFonts w:hint="default" w:ascii="Times New Roman" w:hAnsi="Times New Roman" w:eastAsia="仿宋_GB2312" w:cs="Times New Roman"/>
          <w:color w:val="auto"/>
          <w:sz w:val="32"/>
          <w:szCs w:val="32"/>
          <w:lang w:eastAsia="zh-CN"/>
        </w:rPr>
        <w:t>呈现</w:t>
      </w:r>
      <w:r>
        <w:rPr>
          <w:rFonts w:hint="default" w:ascii="Times New Roman" w:hAnsi="Times New Roman" w:eastAsia="仿宋_GB2312" w:cs="Times New Roman"/>
          <w:color w:val="auto"/>
          <w:sz w:val="32"/>
          <w:szCs w:val="32"/>
        </w:rPr>
        <w:t>“稳中有进、稳中提质”</w:t>
      </w:r>
      <w:r>
        <w:rPr>
          <w:rFonts w:hint="default" w:ascii="Times New Roman" w:hAnsi="Times New Roman" w:eastAsia="仿宋_GB2312" w:cs="Times New Roman"/>
          <w:color w:val="auto"/>
          <w:sz w:val="32"/>
          <w:szCs w:val="32"/>
          <w:lang w:eastAsia="zh-CN"/>
        </w:rPr>
        <w:t>态势</w:t>
      </w:r>
      <w:r>
        <w:rPr>
          <w:rFonts w:hint="default" w:ascii="Times New Roman" w:hAnsi="Times New Roman" w:eastAsia="仿宋_GB2312" w:cs="Times New Roman"/>
          <w:color w:val="auto"/>
          <w:sz w:val="32"/>
          <w:szCs w:val="32"/>
        </w:rPr>
        <w:t>。经济总量</w:t>
      </w:r>
      <w:r>
        <w:rPr>
          <w:rFonts w:hint="default" w:ascii="Times New Roman" w:hAnsi="Times New Roman" w:eastAsia="仿宋_GB2312" w:cs="Times New Roman"/>
          <w:color w:val="auto"/>
          <w:sz w:val="32"/>
          <w:szCs w:val="32"/>
          <w:lang w:eastAsia="zh-CN"/>
        </w:rPr>
        <w:t>迈上</w:t>
      </w:r>
      <w:r>
        <w:rPr>
          <w:rFonts w:hint="default" w:ascii="Times New Roman" w:hAnsi="Times New Roman" w:eastAsia="仿宋_GB2312" w:cs="Times New Roman"/>
          <w:color w:val="auto"/>
          <w:sz w:val="32"/>
          <w:szCs w:val="32"/>
        </w:rPr>
        <w:t>新台阶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高质量发展迈出新步伐，圆满实现 “十四五”良好开局</w:t>
      </w:r>
      <w:r>
        <w:rPr>
          <w:rFonts w:hint="default" w:ascii="Times New Roman" w:hAnsi="Times New Roman" w:eastAsia="仿宋_GB2312" w:cs="Times New Roman"/>
          <w:color w:val="auto"/>
          <w:sz w:val="32"/>
          <w:szCs w:val="32"/>
          <w:lang w:eastAsia="zh-CN"/>
        </w:rPr>
        <w:t>，开启</w:t>
      </w:r>
      <w:r>
        <w:rPr>
          <w:rFonts w:hint="default" w:ascii="Times New Roman" w:hAnsi="Times New Roman" w:eastAsia="仿宋_GB2312" w:cs="Times New Roman"/>
          <w:color w:val="auto"/>
          <w:sz w:val="32"/>
          <w:szCs w:val="32"/>
        </w:rPr>
        <w:t>宿城现代化建设</w:t>
      </w:r>
      <w:r>
        <w:rPr>
          <w:rFonts w:hint="default" w:ascii="Times New Roman" w:hAnsi="Times New Roman" w:eastAsia="仿宋_GB2312" w:cs="Times New Roman"/>
          <w:color w:val="auto"/>
          <w:sz w:val="32"/>
          <w:szCs w:val="32"/>
          <w:lang w:eastAsia="zh-CN"/>
        </w:rPr>
        <w:t>新征程。</w:t>
      </w:r>
    </w:p>
    <w:p>
      <w:pPr>
        <w:spacing w:after="0"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一、综合</w:t>
      </w:r>
    </w:p>
    <w:p>
      <w:pPr>
        <w:spacing w:after="0" w:line="560" w:lineRule="exact"/>
        <w:ind w:firstLine="636"/>
        <w:jc w:val="both"/>
        <w:rPr>
          <w:rFonts w:hint="default" w:ascii="Times New Roman" w:hAnsi="Times New Roman" w:eastAsia="仿宋_GB2312" w:cs="Times New Roman"/>
          <w:color w:val="0000FF"/>
          <w:sz w:val="32"/>
          <w:szCs w:val="32"/>
        </w:rPr>
      </w:pPr>
      <w:r>
        <w:rPr>
          <w:rFonts w:hint="default" w:ascii="Times New Roman" w:hAnsi="Times New Roman" w:eastAsia="楷体" w:cs="Times New Roman"/>
          <w:color w:val="auto"/>
          <w:sz w:val="32"/>
          <w:szCs w:val="32"/>
        </w:rPr>
        <w:t>经济总量</w:t>
      </w:r>
      <w:r>
        <w:rPr>
          <w:rFonts w:hint="default" w:ascii="Times New Roman" w:hAnsi="Times New Roman" w:eastAsia="楷体" w:cs="Times New Roman"/>
          <w:color w:val="auto"/>
          <w:sz w:val="32"/>
          <w:szCs w:val="32"/>
          <w:lang w:eastAsia="zh-CN"/>
        </w:rPr>
        <w:t>迈上新台阶</w:t>
      </w:r>
      <w:r>
        <w:rPr>
          <w:rFonts w:hint="default" w:ascii="Times New Roman" w:hAnsi="Times New Roman" w:eastAsia="楷体" w:cs="Times New Roman"/>
          <w:color w:val="auto"/>
          <w:sz w:val="32"/>
          <w:szCs w:val="32"/>
        </w:rPr>
        <w:t>。</w:t>
      </w:r>
      <w:r>
        <w:rPr>
          <w:rFonts w:hint="eastAsia" w:ascii="Times New Roman" w:hAnsi="Times New Roman" w:eastAsia="仿宋_GB2312" w:cs="Times New Roman"/>
          <w:color w:val="auto"/>
          <w:sz w:val="32"/>
          <w:szCs w:val="32"/>
          <w:lang w:eastAsia="zh-CN"/>
        </w:rPr>
        <w:t>全年</w:t>
      </w:r>
      <w:r>
        <w:rPr>
          <w:rFonts w:hint="default" w:ascii="Times New Roman" w:hAnsi="Times New Roman" w:eastAsia="仿宋_GB2312" w:cs="Times New Roman"/>
          <w:color w:val="auto"/>
          <w:sz w:val="32"/>
          <w:szCs w:val="32"/>
        </w:rPr>
        <w:t>实现地区生产总值</w:t>
      </w:r>
      <w:r>
        <w:rPr>
          <w:rFonts w:hint="default" w:ascii="Times New Roman" w:hAnsi="Times New Roman" w:eastAsia="仿宋_GB2312" w:cs="Times New Roman"/>
          <w:color w:val="auto"/>
          <w:sz w:val="32"/>
          <w:szCs w:val="32"/>
          <w:lang w:val="en-US" w:eastAsia="zh-CN"/>
        </w:rPr>
        <w:t>463.92</w:t>
      </w:r>
      <w:r>
        <w:rPr>
          <w:rFonts w:hint="default" w:ascii="Times New Roman" w:hAnsi="Times New Roman" w:eastAsia="仿宋_GB2312" w:cs="Times New Roman"/>
          <w:color w:val="auto"/>
          <w:sz w:val="32"/>
          <w:szCs w:val="32"/>
        </w:rPr>
        <w:t>亿元，按可比价格计算，同比增长</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.5%。其中，第一产业增加值</w:t>
      </w:r>
      <w:r>
        <w:rPr>
          <w:rFonts w:hint="default" w:ascii="Times New Roman" w:hAnsi="Times New Roman" w:eastAsia="仿宋_GB2312" w:cs="Times New Roman"/>
          <w:color w:val="auto"/>
          <w:sz w:val="32"/>
          <w:szCs w:val="32"/>
          <w:lang w:val="en-US" w:eastAsia="zh-CN"/>
        </w:rPr>
        <w:t>31.36</w:t>
      </w:r>
      <w:r>
        <w:rPr>
          <w:rFonts w:hint="default" w:ascii="Times New Roman" w:hAnsi="Times New Roman" w:eastAsia="仿宋_GB2312" w:cs="Times New Roman"/>
          <w:color w:val="auto"/>
          <w:sz w:val="32"/>
          <w:szCs w:val="32"/>
        </w:rPr>
        <w:t>亿元，同比增长</w:t>
      </w:r>
      <w:r>
        <w:rPr>
          <w:rFonts w:hint="default" w:ascii="Times New Roman" w:hAnsi="Times New Roman" w:eastAsia="仿宋_GB2312" w:cs="Times New Roman"/>
          <w:color w:val="auto"/>
          <w:sz w:val="32"/>
          <w:szCs w:val="32"/>
          <w:lang w:val="en-US" w:eastAsia="zh-CN"/>
        </w:rPr>
        <w:t>4.6</w:t>
      </w:r>
      <w:r>
        <w:rPr>
          <w:rFonts w:hint="default" w:ascii="Times New Roman" w:hAnsi="Times New Roman" w:eastAsia="仿宋_GB2312" w:cs="Times New Roman"/>
          <w:color w:val="auto"/>
          <w:sz w:val="32"/>
          <w:szCs w:val="32"/>
        </w:rPr>
        <w:t>%；第二产业增加值</w:t>
      </w:r>
      <w:r>
        <w:rPr>
          <w:rFonts w:hint="default" w:ascii="Times New Roman" w:hAnsi="Times New Roman" w:eastAsia="仿宋_GB2312" w:cs="Times New Roman"/>
          <w:color w:val="auto"/>
          <w:sz w:val="32"/>
          <w:szCs w:val="32"/>
          <w:lang w:val="en-US" w:eastAsia="zh-CN"/>
        </w:rPr>
        <w:t>124.87</w:t>
      </w:r>
      <w:r>
        <w:rPr>
          <w:rFonts w:hint="default" w:ascii="Times New Roman" w:hAnsi="Times New Roman" w:eastAsia="仿宋_GB2312" w:cs="Times New Roman"/>
          <w:color w:val="auto"/>
          <w:sz w:val="32"/>
          <w:szCs w:val="32"/>
        </w:rPr>
        <w:t>亿元，同比增长</w:t>
      </w:r>
      <w:r>
        <w:rPr>
          <w:rFonts w:hint="default" w:ascii="Times New Roman" w:hAnsi="Times New Roman" w:eastAsia="仿宋_GB2312" w:cs="Times New Roman"/>
          <w:color w:val="auto"/>
          <w:sz w:val="32"/>
          <w:szCs w:val="32"/>
          <w:lang w:val="en-US" w:eastAsia="zh-CN"/>
        </w:rPr>
        <w:t>9.5</w:t>
      </w:r>
      <w:r>
        <w:rPr>
          <w:rFonts w:hint="default" w:ascii="Times New Roman" w:hAnsi="Times New Roman" w:eastAsia="仿宋_GB2312" w:cs="Times New Roman"/>
          <w:color w:val="auto"/>
          <w:sz w:val="32"/>
          <w:szCs w:val="32"/>
        </w:rPr>
        <w:t>%，其中工业增加值</w:t>
      </w:r>
      <w:r>
        <w:rPr>
          <w:rFonts w:hint="default" w:ascii="Times New Roman" w:hAnsi="Times New Roman" w:eastAsia="仿宋_GB2312" w:cs="Times New Roman"/>
          <w:color w:val="auto"/>
          <w:sz w:val="32"/>
          <w:szCs w:val="32"/>
          <w:lang w:val="en-US" w:eastAsia="zh-CN"/>
        </w:rPr>
        <w:t>93.87</w:t>
      </w:r>
      <w:r>
        <w:rPr>
          <w:rFonts w:hint="default" w:ascii="Times New Roman" w:hAnsi="Times New Roman" w:eastAsia="仿宋_GB2312" w:cs="Times New Roman"/>
          <w:color w:val="auto"/>
          <w:sz w:val="32"/>
          <w:szCs w:val="32"/>
        </w:rPr>
        <w:t>亿元，同比增长</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%；第三产业增加值</w:t>
      </w:r>
      <w:r>
        <w:rPr>
          <w:rFonts w:hint="default" w:ascii="Times New Roman" w:hAnsi="Times New Roman" w:eastAsia="仿宋_GB2312" w:cs="Times New Roman"/>
          <w:color w:val="auto"/>
          <w:sz w:val="32"/>
          <w:szCs w:val="32"/>
          <w:lang w:val="en-US" w:eastAsia="zh-CN"/>
        </w:rPr>
        <w:t>307.69</w:t>
      </w:r>
      <w:r>
        <w:rPr>
          <w:rFonts w:hint="default" w:ascii="Times New Roman" w:hAnsi="Times New Roman" w:eastAsia="仿宋_GB2312" w:cs="Times New Roman"/>
          <w:color w:val="auto"/>
          <w:sz w:val="32"/>
          <w:szCs w:val="32"/>
        </w:rPr>
        <w:t>亿元，同比增长</w:t>
      </w:r>
      <w:r>
        <w:rPr>
          <w:rFonts w:hint="default" w:ascii="Times New Roman" w:hAnsi="Times New Roman" w:eastAsia="仿宋_GB2312" w:cs="Times New Roman"/>
          <w:color w:val="auto"/>
          <w:sz w:val="32"/>
          <w:szCs w:val="32"/>
          <w:lang w:val="en-US" w:eastAsia="zh-CN"/>
        </w:rPr>
        <w:t>9.9</w:t>
      </w:r>
      <w:r>
        <w:rPr>
          <w:rFonts w:hint="default" w:ascii="Times New Roman" w:hAnsi="Times New Roman" w:eastAsia="仿宋_GB2312" w:cs="Times New Roman"/>
          <w:color w:val="auto"/>
          <w:sz w:val="32"/>
          <w:szCs w:val="32"/>
        </w:rPr>
        <w:t>%。按照常住人口计算，人均地区生产总值69719元，同比增长9</w:t>
      </w:r>
      <w:r>
        <w:rPr>
          <w:rFonts w:hint="default" w:ascii="Times New Roman" w:hAnsi="Times New Roman" w:eastAsia="仿宋_GB2312" w:cs="Times New Roman"/>
          <w:color w:val="auto"/>
          <w:sz w:val="32"/>
          <w:szCs w:val="32"/>
          <w:lang w:val="en-US"/>
        </w:rPr>
        <w:t>.0</w:t>
      </w:r>
      <w:r>
        <w:rPr>
          <w:rFonts w:hint="default" w:ascii="Times New Roman" w:hAnsi="Times New Roman" w:eastAsia="仿宋_GB2312" w:cs="Times New Roman"/>
          <w:color w:val="auto"/>
          <w:sz w:val="32"/>
          <w:szCs w:val="32"/>
        </w:rPr>
        <w:t>%。</w:t>
      </w:r>
    </w:p>
    <w:p>
      <w:pPr>
        <w:spacing w:after="0" w:line="480" w:lineRule="auto"/>
        <w:jc w:val="both"/>
        <w:rPr>
          <w:rFonts w:hint="default" w:ascii="Times New Roman" w:hAnsi="Times New Roman" w:eastAsia="仿宋_GB2312" w:cs="Times New Roman"/>
          <w:color w:val="0000FF"/>
          <w:sz w:val="28"/>
          <w:szCs w:val="28"/>
        </w:rPr>
      </w:pPr>
      <w:r>
        <w:drawing>
          <wp:inline distT="0" distB="0" distL="114300" distR="114300">
            <wp:extent cx="5271135" cy="2456180"/>
            <wp:effectExtent l="4445" t="4445" r="12700" b="825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480" w:lineRule="auto"/>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 2016-2018年GDP总量根据四经普调整。</w:t>
      </w:r>
    </w:p>
    <w:p>
      <w:pPr>
        <w:spacing w:after="0" w:line="560" w:lineRule="exact"/>
        <w:ind w:firstLine="640" w:firstLineChars="200"/>
        <w:jc w:val="both"/>
        <w:rPr>
          <w:rFonts w:hint="default" w:ascii="Times New Roman" w:hAnsi="Times New Roman" w:eastAsia="仿宋_GB2312" w:cs="Times New Roman"/>
          <w:color w:val="auto"/>
          <w:sz w:val="28"/>
          <w:szCs w:val="28"/>
        </w:rPr>
      </w:pPr>
      <w:r>
        <w:rPr>
          <w:rFonts w:hint="default" w:ascii="Times New Roman" w:hAnsi="Times New Roman" w:eastAsia="楷体" w:cs="Times New Roman"/>
          <w:color w:val="auto"/>
          <w:sz w:val="32"/>
          <w:szCs w:val="32"/>
        </w:rPr>
        <w:t>产业结构进一步优化。</w:t>
      </w:r>
      <w:r>
        <w:rPr>
          <w:rFonts w:hint="default" w:ascii="Times New Roman" w:hAnsi="Times New Roman" w:eastAsia="仿宋_GB2312" w:cs="Times New Roman"/>
          <w:color w:val="auto"/>
          <w:sz w:val="32"/>
          <w:szCs w:val="32"/>
        </w:rPr>
        <w:t>全区三次产业结构为</w:t>
      </w:r>
      <w:r>
        <w:rPr>
          <w:rFonts w:hint="default" w:ascii="Times New Roman" w:hAnsi="Times New Roman" w:eastAsia="仿宋_GB2312" w:cs="Times New Roman"/>
          <w:color w:val="auto"/>
          <w:sz w:val="32"/>
          <w:szCs w:val="32"/>
          <w:lang w:val="en-US" w:eastAsia="zh-CN"/>
        </w:rPr>
        <w:t>6.8</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6.9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66.3</w:t>
      </w:r>
      <w:r>
        <w:rPr>
          <w:rFonts w:hint="default" w:ascii="Times New Roman" w:hAnsi="Times New Roman" w:eastAsia="仿宋_GB2312" w:cs="Times New Roman"/>
          <w:color w:val="auto"/>
          <w:sz w:val="32"/>
          <w:szCs w:val="32"/>
        </w:rPr>
        <w:t>。其中，第一产业增加值比重</w:t>
      </w:r>
      <w:r>
        <w:rPr>
          <w:rFonts w:hint="eastAsia" w:ascii="Times New Roman" w:hAnsi="Times New Roman" w:eastAsia="仿宋_GB2312" w:cs="Times New Roman"/>
          <w:color w:val="auto"/>
          <w:sz w:val="32"/>
          <w:szCs w:val="32"/>
          <w:lang w:eastAsia="zh-CN"/>
        </w:rPr>
        <w:t>与上年同期持平</w:t>
      </w:r>
      <w:r>
        <w:rPr>
          <w:rFonts w:hint="default" w:ascii="Times New Roman" w:hAnsi="Times New Roman" w:eastAsia="仿宋_GB2312" w:cs="Times New Roman"/>
          <w:color w:val="auto"/>
          <w:sz w:val="32"/>
          <w:szCs w:val="32"/>
        </w:rPr>
        <w:t>，第二产业增加值比重比去年</w:t>
      </w:r>
      <w:r>
        <w:rPr>
          <w:rFonts w:hint="default" w:ascii="Times New Roman" w:hAnsi="Times New Roman" w:eastAsia="仿宋_GB2312" w:cs="Times New Roman"/>
          <w:color w:val="auto"/>
          <w:sz w:val="32"/>
          <w:szCs w:val="32"/>
          <w:lang w:eastAsia="zh-CN"/>
        </w:rPr>
        <w:t>上升</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个百分点，第三产业增加值比重比去年</w:t>
      </w:r>
      <w:r>
        <w:rPr>
          <w:rFonts w:hint="default" w:ascii="Times New Roman" w:hAnsi="Times New Roman" w:eastAsia="仿宋_GB2312" w:cs="Times New Roman"/>
          <w:color w:val="auto"/>
          <w:sz w:val="32"/>
          <w:szCs w:val="32"/>
          <w:lang w:eastAsia="zh-CN"/>
        </w:rPr>
        <w:t>下降</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个百分点。</w:t>
      </w:r>
    </w:p>
    <w:p>
      <w:pPr>
        <w:spacing w:after="0" w:line="480" w:lineRule="auto"/>
        <w:jc w:val="center"/>
        <w:rPr>
          <w:rFonts w:hint="default" w:ascii="Times New Roman" w:hAnsi="Times New Roman" w:cs="Times New Roman"/>
          <w:color w:val="auto"/>
        </w:rPr>
      </w:pPr>
      <w:r>
        <w:drawing>
          <wp:inline distT="0" distB="0" distL="114300" distR="114300">
            <wp:extent cx="5021580" cy="2743200"/>
            <wp:effectExtent l="4445" t="4445" r="18415" b="1079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480" w:lineRule="auto"/>
        <w:jc w:val="both"/>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注： 2016-2018年GDP三次产业结构根据四经普调整。</w:t>
      </w:r>
    </w:p>
    <w:p>
      <w:pPr>
        <w:widowControl w:val="0"/>
        <w:spacing w:after="0" w:line="560" w:lineRule="exact"/>
        <w:ind w:firstLine="560" w:firstLineChars="200"/>
        <w:jc w:val="both"/>
        <w:rPr>
          <w:rFonts w:hint="default" w:ascii="仿宋_GB2312" w:hAnsi="仿宋_GB2312" w:eastAsia="仿宋_GB2312" w:cs="仿宋_GB2312"/>
          <w:color w:val="0000FF"/>
          <w:sz w:val="32"/>
          <w:szCs w:val="32"/>
          <w:lang w:val="en-US"/>
        </w:rPr>
      </w:pPr>
      <w:r>
        <w:rPr>
          <w:rFonts w:hint="default" w:ascii="Times New Roman" w:hAnsi="Times New Roman" w:eastAsia="仿宋_GB2312" w:cs="Times New Roman"/>
          <w:color w:val="auto"/>
          <w:sz w:val="28"/>
          <w:szCs w:val="28"/>
        </w:rPr>
        <w:t xml:space="preserve">  </w:t>
      </w:r>
      <w:r>
        <w:rPr>
          <w:rFonts w:hint="default" w:ascii="Times New Roman" w:hAnsi="Times New Roman" w:eastAsia="楷体" w:cs="Times New Roman"/>
          <w:color w:val="auto"/>
          <w:sz w:val="32"/>
          <w:szCs w:val="32"/>
        </w:rPr>
        <w:t>新产业新技术</w:t>
      </w:r>
      <w:r>
        <w:rPr>
          <w:rFonts w:hint="eastAsia" w:ascii="Times New Roman" w:hAnsi="Times New Roman" w:eastAsia="楷体" w:cs="Times New Roman"/>
          <w:color w:val="auto"/>
          <w:sz w:val="32"/>
          <w:szCs w:val="32"/>
          <w:lang w:eastAsia="zh-CN"/>
        </w:rPr>
        <w:t>保持较快发展</w:t>
      </w:r>
      <w:r>
        <w:rPr>
          <w:rFonts w:hint="default" w:ascii="Times New Roman" w:hAnsi="Times New Roman" w:eastAsia="楷体" w:cs="Times New Roman"/>
          <w:color w:val="auto"/>
          <w:sz w:val="32"/>
          <w:szCs w:val="32"/>
        </w:rPr>
        <w:t>。</w:t>
      </w:r>
      <w:r>
        <w:rPr>
          <w:rFonts w:hint="default" w:ascii="Times New Roman" w:hAnsi="Times New Roman" w:eastAsia="仿宋_GB2312" w:cs="Times New Roman"/>
          <w:color w:val="auto"/>
          <w:sz w:val="32"/>
          <w:szCs w:val="32"/>
          <w:lang w:eastAsia="zh-CN"/>
        </w:rPr>
        <w:t>全年规上工业高新技术产业产值</w:t>
      </w:r>
      <w:r>
        <w:rPr>
          <w:rFonts w:hint="default" w:ascii="Times New Roman" w:hAnsi="Times New Roman" w:eastAsia="仿宋_GB2312" w:cs="Times New Roman"/>
          <w:color w:val="auto"/>
          <w:sz w:val="32"/>
          <w:szCs w:val="32"/>
          <w:lang w:val="en-US" w:eastAsia="zh-CN"/>
        </w:rPr>
        <w:t>87.91亿元，同比增长34.9%，占全区规上工业总产值30.9%；</w:t>
      </w:r>
      <w:r>
        <w:rPr>
          <w:rFonts w:hint="default" w:ascii="Times New Roman" w:hAnsi="Times New Roman" w:eastAsia="仿宋_GB2312" w:cs="Times New Roman"/>
          <w:color w:val="auto"/>
          <w:sz w:val="32"/>
          <w:szCs w:val="32"/>
        </w:rPr>
        <w:t xml:space="preserve">高新技术产业投资比上年增长 </w:t>
      </w:r>
      <w:r>
        <w:rPr>
          <w:rFonts w:hint="default" w:ascii="Times New Roman" w:hAnsi="Times New Roman" w:eastAsia="仿宋_GB2312" w:cs="Times New Roman"/>
          <w:color w:val="auto"/>
          <w:sz w:val="32"/>
          <w:szCs w:val="32"/>
          <w:lang w:val="en-US" w:eastAsia="zh-CN"/>
        </w:rPr>
        <w:t>65.2</w:t>
      </w:r>
      <w:r>
        <w:rPr>
          <w:rFonts w:hint="default" w:ascii="Times New Roman" w:hAnsi="Times New Roman" w:eastAsia="仿宋_GB2312" w:cs="Times New Roman"/>
          <w:color w:val="auto"/>
          <w:sz w:val="32"/>
          <w:szCs w:val="32"/>
        </w:rPr>
        <w:t>%，占固定资产投资的比重为</w:t>
      </w:r>
      <w:r>
        <w:rPr>
          <w:rFonts w:hint="default" w:ascii="Times New Roman" w:hAnsi="Times New Roman" w:eastAsia="仿宋_GB2312" w:cs="Times New Roman"/>
          <w:color w:val="auto"/>
          <w:sz w:val="32"/>
          <w:szCs w:val="32"/>
          <w:lang w:val="en-US" w:eastAsia="zh-CN"/>
        </w:rPr>
        <w:t>8.7</w:t>
      </w:r>
      <w:r>
        <w:rPr>
          <w:rFonts w:hint="default" w:ascii="Times New Roman" w:hAnsi="Times New Roman" w:eastAsia="仿宋_GB2312" w:cs="Times New Roman"/>
          <w:color w:val="auto"/>
          <w:sz w:val="32"/>
          <w:szCs w:val="32"/>
        </w:rPr>
        <w:t>%；限上批发和零售业通过公共网络实现销售额59.33亿元，较上年增长20.5%，占限上贸易额比重为22.0%。</w:t>
      </w:r>
      <w:r>
        <w:rPr>
          <w:rFonts w:hint="default" w:ascii="Times New Roman" w:hAnsi="Times New Roman" w:eastAsia="仿宋_GB2312" w:cs="Times New Roman"/>
          <w:color w:val="auto"/>
          <w:sz w:val="32"/>
          <w:szCs w:val="32"/>
          <w:lang w:eastAsia="zh-CN"/>
        </w:rPr>
        <w:t>租赁和</w:t>
      </w:r>
      <w:r>
        <w:rPr>
          <w:rFonts w:hint="default" w:ascii="Times New Roman" w:hAnsi="Times New Roman" w:eastAsia="仿宋_GB2312" w:cs="Times New Roman"/>
          <w:color w:val="auto"/>
          <w:sz w:val="32"/>
          <w:szCs w:val="32"/>
        </w:rPr>
        <w:t>商务服务业、科学研究和技术服务业分别增长</w:t>
      </w:r>
      <w:r>
        <w:rPr>
          <w:rFonts w:hint="default" w:ascii="Times New Roman" w:hAnsi="Times New Roman"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rPr>
        <w:t>2.2%、2</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.0%</w:t>
      </w:r>
      <w:r>
        <w:rPr>
          <w:rFonts w:hint="default" w:ascii="Times New Roman" w:hAnsi="Times New Roman" w:eastAsia="仿宋_GB2312" w:cs="Times New Roman"/>
          <w:color w:val="0000FF"/>
          <w:sz w:val="32"/>
          <w:szCs w:val="32"/>
        </w:rPr>
        <w:t>。</w:t>
      </w:r>
      <w:r>
        <w:rPr>
          <w:rFonts w:hint="default" w:ascii="仿宋_GB2312" w:hAnsi="仿宋_GB2312" w:eastAsia="仿宋_GB2312" w:cs="仿宋_GB2312"/>
          <w:color w:val="0000FF"/>
          <w:sz w:val="32"/>
          <w:szCs w:val="32"/>
          <w:lang w:val="en-US"/>
        </w:rPr>
        <w:t xml:space="preserve">     </w:t>
      </w:r>
    </w:p>
    <w:p>
      <w:pPr>
        <w:widowControl w:val="0"/>
        <w:spacing w:after="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消费价格涨势收窄。</w:t>
      </w:r>
      <w:r>
        <w:rPr>
          <w:rFonts w:hint="default" w:ascii="Times New Roman" w:hAnsi="Times New Roman" w:eastAsia="仿宋_GB2312" w:cs="Times New Roman"/>
          <w:color w:val="auto"/>
          <w:sz w:val="32"/>
          <w:szCs w:val="32"/>
        </w:rPr>
        <w:t>全年居民消费价格总水平（CPI）上涨</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%，比上年涨幅收窄</w:t>
      </w:r>
      <w:r>
        <w:rPr>
          <w:rFonts w:hint="default"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rPr>
        <w:t>个百分点。八大类消费价格“</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升</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降”。其中，“</w:t>
      </w:r>
      <w:r>
        <w:rPr>
          <w:rFonts w:hint="default" w:ascii="Times New Roman" w:hAnsi="Times New Roman" w:eastAsia="仿宋_GB2312" w:cs="Times New Roman"/>
          <w:color w:val="auto"/>
          <w:sz w:val="32"/>
          <w:szCs w:val="32"/>
          <w:lang w:eastAsia="zh-CN"/>
        </w:rPr>
        <w:t>七</w:t>
      </w:r>
      <w:r>
        <w:rPr>
          <w:rFonts w:hint="default" w:ascii="Times New Roman" w:hAnsi="Times New Roman" w:eastAsia="仿宋_GB2312" w:cs="Times New Roman"/>
          <w:color w:val="auto"/>
          <w:sz w:val="32"/>
          <w:szCs w:val="32"/>
        </w:rPr>
        <w:t xml:space="preserve">升”即为：食品烟酒上涨 </w:t>
      </w:r>
      <w:r>
        <w:rPr>
          <w:rFonts w:hint="default" w:ascii="Times New Roman" w:hAnsi="Times New Roman" w:eastAsia="仿宋_GB2312" w:cs="Times New Roman"/>
          <w:color w:val="auto"/>
          <w:sz w:val="32"/>
          <w:szCs w:val="32"/>
          <w:lang w:val="en-US" w:eastAsia="zh-CN"/>
        </w:rPr>
        <w:t>0.1</w:t>
      </w:r>
      <w:r>
        <w:rPr>
          <w:rFonts w:hint="default" w:ascii="Times New Roman" w:hAnsi="Times New Roman" w:eastAsia="仿宋_GB2312" w:cs="Times New Roman"/>
          <w:color w:val="auto"/>
          <w:sz w:val="32"/>
          <w:szCs w:val="32"/>
        </w:rPr>
        <w:t xml:space="preserve">%、衣着上涨 </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 xml:space="preserve">%、居住上涨 </w:t>
      </w:r>
      <w:r>
        <w:rPr>
          <w:rFonts w:hint="default" w:ascii="Times New Roman" w:hAnsi="Times New Roman" w:eastAsia="仿宋_GB2312" w:cs="Times New Roman"/>
          <w:color w:val="auto"/>
          <w:sz w:val="32"/>
          <w:szCs w:val="32"/>
          <w:lang w:val="en-US" w:eastAsia="zh-CN"/>
        </w:rPr>
        <w:t>0.9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生活用品及服务</w:t>
      </w:r>
      <w:r>
        <w:rPr>
          <w:rFonts w:hint="default" w:ascii="Times New Roman" w:hAnsi="Times New Roman" w:eastAsia="仿宋_GB2312" w:cs="Times New Roman"/>
          <w:color w:val="auto"/>
          <w:sz w:val="32"/>
          <w:szCs w:val="32"/>
          <w:lang w:eastAsia="zh-CN"/>
        </w:rPr>
        <w:t>上涨</w:t>
      </w:r>
      <w:r>
        <w:rPr>
          <w:rFonts w:hint="default" w:ascii="Times New Roman" w:hAnsi="Times New Roman" w:eastAsia="仿宋_GB2312" w:cs="Times New Roman"/>
          <w:color w:val="auto"/>
          <w:sz w:val="32"/>
          <w:szCs w:val="32"/>
          <w:lang w:val="en-US" w:eastAsia="zh-CN"/>
        </w:rPr>
        <w:t>1.1%、交通和通信上涨3.6%、</w:t>
      </w:r>
      <w:r>
        <w:rPr>
          <w:rFonts w:hint="default" w:ascii="Times New Roman" w:hAnsi="Times New Roman" w:eastAsia="仿宋_GB2312" w:cs="Times New Roman"/>
          <w:color w:val="auto"/>
          <w:sz w:val="32"/>
          <w:szCs w:val="32"/>
        </w:rPr>
        <w:t xml:space="preserve">教育文化和娱乐上涨 </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%、医疗保健上涨</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降”即为其他用品和服务下降</w:t>
      </w:r>
      <w:r>
        <w:rPr>
          <w:rFonts w:hint="default" w:ascii="Times New Roman" w:hAnsi="Times New Roman" w:eastAsia="仿宋_GB2312" w:cs="Times New Roman"/>
          <w:color w:val="auto"/>
          <w:sz w:val="32"/>
          <w:szCs w:val="32"/>
          <w:lang w:val="en-US" w:eastAsia="zh-CN"/>
        </w:rPr>
        <w:t>0.5</w:t>
      </w:r>
      <w:r>
        <w:rPr>
          <w:rFonts w:hint="default" w:ascii="Times New Roman" w:hAnsi="Times New Roman" w:eastAsia="仿宋_GB2312" w:cs="Times New Roman"/>
          <w:color w:val="auto"/>
          <w:sz w:val="32"/>
          <w:szCs w:val="32"/>
        </w:rPr>
        <w:t>%。</w:t>
      </w:r>
    </w:p>
    <w:p>
      <w:pPr>
        <w:spacing w:after="0"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二、农林牧渔业</w:t>
      </w:r>
    </w:p>
    <w:p>
      <w:pPr>
        <w:spacing w:after="0" w:line="56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rPr>
        <w:t>农业生产稳步增长。</w:t>
      </w:r>
      <w:r>
        <w:rPr>
          <w:rFonts w:hint="eastAsia" w:ascii="Times New Roman" w:hAnsi="Times New Roman" w:eastAsia="仿宋_GB2312" w:cs="Times New Roman"/>
          <w:color w:val="auto"/>
          <w:kern w:val="2"/>
          <w:sz w:val="32"/>
          <w:szCs w:val="32"/>
          <w:lang w:val="en-US" w:eastAsia="zh-CN" w:bidi="ar-SA"/>
        </w:rPr>
        <w:t>全年</w:t>
      </w:r>
      <w:r>
        <w:rPr>
          <w:rFonts w:hint="default" w:ascii="Times New Roman" w:hAnsi="Times New Roman" w:eastAsia="仿宋_GB2312" w:cs="Times New Roman"/>
          <w:color w:val="auto"/>
          <w:kern w:val="2"/>
          <w:sz w:val="32"/>
          <w:szCs w:val="32"/>
          <w:lang w:val="en-US" w:eastAsia="en-US" w:bidi="ar-SA"/>
        </w:rPr>
        <w:t>实现农林牧渔业总产值</w:t>
      </w:r>
      <w:r>
        <w:rPr>
          <w:rFonts w:hint="default" w:ascii="Times New Roman" w:hAnsi="Times New Roman" w:eastAsia="仿宋_GB2312" w:cs="Times New Roman"/>
          <w:color w:val="auto"/>
          <w:kern w:val="2"/>
          <w:sz w:val="32"/>
          <w:szCs w:val="32"/>
          <w:lang w:val="en-US" w:eastAsia="zh-CN" w:bidi="ar-SA"/>
        </w:rPr>
        <w:t>49.25</w:t>
      </w:r>
      <w:r>
        <w:rPr>
          <w:rFonts w:hint="default" w:ascii="Times New Roman" w:hAnsi="Times New Roman" w:eastAsia="仿宋_GB2312" w:cs="Times New Roman"/>
          <w:color w:val="auto"/>
          <w:kern w:val="2"/>
          <w:sz w:val="32"/>
          <w:szCs w:val="32"/>
          <w:lang w:val="en-US" w:eastAsia="en-US" w:bidi="ar-SA"/>
        </w:rPr>
        <w:t>亿元</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en-US" w:bidi="ar-SA"/>
        </w:rPr>
        <w:t>可比价增长</w:t>
      </w:r>
      <w:r>
        <w:rPr>
          <w:rFonts w:hint="default" w:ascii="Times New Roman" w:hAnsi="Times New Roman" w:eastAsia="仿宋_GB2312" w:cs="Times New Roman"/>
          <w:color w:val="auto"/>
          <w:kern w:val="2"/>
          <w:sz w:val="32"/>
          <w:szCs w:val="32"/>
          <w:lang w:val="en-US" w:eastAsia="zh-CN" w:bidi="ar-SA"/>
        </w:rPr>
        <w:t>5.7</w:t>
      </w:r>
      <w:r>
        <w:rPr>
          <w:rFonts w:hint="default" w:ascii="Times New Roman" w:hAnsi="Times New Roman" w:eastAsia="仿宋_GB2312" w:cs="Times New Roman"/>
          <w:color w:val="auto"/>
          <w:kern w:val="2"/>
          <w:sz w:val="32"/>
          <w:szCs w:val="32"/>
          <w:lang w:val="en-US" w:eastAsia="en-US" w:bidi="ar-SA"/>
        </w:rPr>
        <w:t>%，</w:t>
      </w:r>
      <w:r>
        <w:rPr>
          <w:rFonts w:hint="default" w:ascii="Times New Roman" w:hAnsi="Times New Roman" w:eastAsia="仿宋_GB2312" w:cs="Times New Roman"/>
          <w:color w:val="auto"/>
          <w:sz w:val="32"/>
          <w:szCs w:val="32"/>
          <w:lang w:val="en-US" w:eastAsia="zh-CN"/>
        </w:rPr>
        <w:t>其中，农业产值26.89亿元，增长5.4%；林业产值1.14亿元，增长1.5%；牧业产值10.71亿元，增长18.6%；渔业产值7.67亿元，下降11.5%；农林牧渔服务业产值2.84亿元，增长7.6%。</w:t>
      </w:r>
      <w:r>
        <w:rPr>
          <w:rFonts w:hint="default" w:ascii="Times New Roman" w:hAnsi="Times New Roman" w:eastAsia="仿宋_GB2312" w:cs="Times New Roman"/>
          <w:color w:val="auto"/>
          <w:kern w:val="2"/>
          <w:sz w:val="32"/>
          <w:szCs w:val="32"/>
          <w:lang w:val="en-US" w:eastAsia="en-US" w:bidi="ar-SA"/>
        </w:rPr>
        <w:t>实现农林牧渔</w:t>
      </w:r>
      <w:r>
        <w:rPr>
          <w:rFonts w:hint="default" w:ascii="Times New Roman" w:hAnsi="Times New Roman" w:eastAsia="仿宋_GB2312" w:cs="Times New Roman"/>
          <w:color w:val="auto"/>
          <w:sz w:val="32"/>
          <w:szCs w:val="32"/>
          <w:lang w:val="en-US" w:eastAsia="en-US"/>
        </w:rPr>
        <w:t>业增加值</w:t>
      </w:r>
      <w:r>
        <w:rPr>
          <w:rFonts w:hint="eastAsia" w:ascii="Times New Roman" w:hAnsi="Times New Roman" w:eastAsia="仿宋_GB2312" w:cs="Times New Roman"/>
          <w:color w:val="auto"/>
          <w:sz w:val="32"/>
          <w:szCs w:val="32"/>
          <w:lang w:val="en-US" w:eastAsia="zh-CN"/>
        </w:rPr>
        <w:t>33.01</w:t>
      </w:r>
      <w:r>
        <w:rPr>
          <w:rFonts w:hint="default" w:ascii="Times New Roman" w:hAnsi="Times New Roman" w:eastAsia="仿宋_GB2312" w:cs="Times New Roman"/>
          <w:color w:val="auto"/>
          <w:sz w:val="32"/>
          <w:szCs w:val="32"/>
          <w:lang w:val="en-US" w:eastAsia="en-US"/>
        </w:rPr>
        <w:t>亿元，可比价增长</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val="en-US" w:eastAsia="en-US"/>
        </w:rPr>
        <w:t>%</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480" w:lineRule="auto"/>
        <w:ind w:firstLine="440" w:firstLineChars="200"/>
        <w:jc w:val="center"/>
        <w:textAlignment w:val="auto"/>
        <w:rPr>
          <w:rFonts w:hint="default" w:ascii="Times New Roman" w:hAnsi="Times New Roman" w:eastAsia="仿宋_GB2312" w:cs="Times New Roman"/>
          <w:color w:val="0000FF"/>
          <w:sz w:val="32"/>
          <w:szCs w:val="32"/>
        </w:rPr>
      </w:pPr>
      <w:r>
        <w:drawing>
          <wp:inline distT="0" distB="0" distL="114300" distR="114300">
            <wp:extent cx="4678680" cy="2743200"/>
            <wp:effectExtent l="4445" t="4445" r="10795" b="1079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4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粮食作物稳产丰收。</w:t>
      </w:r>
      <w:r>
        <w:rPr>
          <w:rFonts w:hint="eastAsia" w:eastAsia="楷体_GB2312" w:cs="Times New Roman"/>
          <w:b w:val="0"/>
          <w:bCs w:val="0"/>
          <w:color w:val="auto"/>
          <w:kern w:val="2"/>
          <w:sz w:val="32"/>
          <w:szCs w:val="32"/>
          <w:lang w:val="en-US" w:eastAsia="zh-CN" w:bidi="ar-SA"/>
        </w:rPr>
        <w:t>全年</w:t>
      </w:r>
      <w:r>
        <w:rPr>
          <w:rFonts w:hint="default" w:ascii="Times New Roman" w:hAnsi="Times New Roman" w:eastAsia="仿宋_GB2312" w:cs="Times New Roman"/>
          <w:color w:val="auto"/>
          <w:kern w:val="2"/>
          <w:sz w:val="32"/>
          <w:szCs w:val="32"/>
          <w:lang w:val="en-US" w:eastAsia="zh-CN" w:bidi="ar-SA"/>
        </w:rPr>
        <w:t>粮食播种面积78.38万亩，较上年增加0.12万亩，增长0.2%；粮食单产457.9公斤/亩，较上年增</w:t>
      </w:r>
      <w:r>
        <w:rPr>
          <w:rFonts w:hint="eastAsia" w:eastAsia="仿宋_GB2312" w:cs="Times New Roman"/>
          <w:color w:val="auto"/>
          <w:kern w:val="2"/>
          <w:sz w:val="32"/>
          <w:szCs w:val="32"/>
          <w:lang w:val="en-US" w:eastAsia="zh-CN" w:bidi="ar-SA"/>
        </w:rPr>
        <w:t>加</w:t>
      </w:r>
      <w:r>
        <w:rPr>
          <w:rFonts w:hint="default" w:ascii="Times New Roman" w:hAnsi="Times New Roman" w:eastAsia="仿宋_GB2312" w:cs="Times New Roman"/>
          <w:color w:val="auto"/>
          <w:kern w:val="2"/>
          <w:sz w:val="32"/>
          <w:szCs w:val="32"/>
          <w:lang w:val="en-US" w:eastAsia="zh-CN" w:bidi="ar-SA"/>
        </w:rPr>
        <w:t>1.3公斤/亩，增长0.3%；粮食总产35.89万吨，较上年增加0.16万吨，增长0.5%。</w:t>
      </w:r>
    </w:p>
    <w:p>
      <w:pPr>
        <w:spacing w:after="0" w:line="480" w:lineRule="auto"/>
        <w:ind w:left="642" w:leftChars="292"/>
        <w:jc w:val="both"/>
        <w:rPr>
          <w:rFonts w:hint="default" w:ascii="Times New Roman" w:hAnsi="Times New Roman" w:cs="Times New Roman"/>
          <w:color w:val="0000FF"/>
          <w:sz w:val="27"/>
          <w:szCs w:val="27"/>
        </w:rPr>
      </w:pPr>
      <w:r>
        <w:rPr>
          <w:rFonts w:hint="default" w:ascii="Times New Roman" w:hAnsi="Times New Roman" w:cs="Times New Roman"/>
          <w:color w:val="0000FF"/>
          <w:sz w:val="27"/>
          <w:szCs w:val="27"/>
        </w:rPr>
        <w:t>　</w:t>
      </w:r>
      <w:r>
        <w:rPr>
          <w:rFonts w:hint="default" w:ascii="Times New Roman" w:hAnsi="Times New Roman" w:cs="Times New Roman"/>
        </w:rPr>
        <w:drawing>
          <wp:inline distT="0" distB="0" distL="114300" distR="114300">
            <wp:extent cx="4678680" cy="2743200"/>
            <wp:effectExtent l="4445" t="4445" r="10795" b="107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default" w:ascii="Times New Roman" w:hAnsi="Times New Roman" w:eastAsia="楷体" w:cs="Times New Roman"/>
          <w:color w:val="auto"/>
          <w:kern w:val="2"/>
          <w:sz w:val="32"/>
          <w:szCs w:val="32"/>
          <w:lang w:val="en-US" w:eastAsia="zh-CN" w:bidi="ar-SA"/>
        </w:rPr>
      </w:pPr>
      <w:r>
        <w:rPr>
          <w:rFonts w:hint="eastAsia" w:ascii="Times New Roman" w:hAnsi="Times New Roman" w:eastAsia="楷体_GB2312" w:cs="Times New Roman"/>
          <w:b w:val="0"/>
          <w:bCs w:val="0"/>
          <w:color w:val="auto"/>
          <w:kern w:val="2"/>
          <w:sz w:val="32"/>
          <w:szCs w:val="32"/>
          <w:lang w:val="en-US" w:eastAsia="zh-CN" w:bidi="ar-SA"/>
        </w:rPr>
        <w:t>农业</w:t>
      </w:r>
      <w:r>
        <w:rPr>
          <w:rFonts w:hint="default" w:ascii="Times New Roman" w:hAnsi="Times New Roman" w:eastAsia="楷体_GB2312" w:cs="Times New Roman"/>
          <w:b w:val="0"/>
          <w:bCs w:val="0"/>
          <w:color w:val="auto"/>
          <w:kern w:val="2"/>
          <w:sz w:val="32"/>
          <w:szCs w:val="32"/>
          <w:lang w:val="en-US" w:eastAsia="zh-CN" w:bidi="ar-SA"/>
        </w:rPr>
        <w:t>种植结构持续调整。</w:t>
      </w:r>
      <w:r>
        <w:rPr>
          <w:rFonts w:hint="default" w:ascii="Times New Roman" w:hAnsi="Times New Roman" w:eastAsia="仿宋_GB2312" w:cs="Times New Roman"/>
          <w:color w:val="auto"/>
          <w:kern w:val="2"/>
          <w:sz w:val="32"/>
          <w:szCs w:val="32"/>
          <w:lang w:val="en-US" w:eastAsia="zh-CN" w:bidi="ar-SA"/>
        </w:rPr>
        <w:t>立足城市核心区功能定位，以打造城市“菜篮子”为主攻方向，围绕“三片、五带、两特色镇”，重点发展绿色果蔬业。</w:t>
      </w:r>
      <w:r>
        <w:rPr>
          <w:rFonts w:hint="default" w:ascii="Times New Roman" w:hAnsi="Times New Roman" w:eastAsia="仿宋_GB2312" w:cs="Times New Roman"/>
          <w:color w:val="auto"/>
          <w:sz w:val="32"/>
          <w:szCs w:val="32"/>
        </w:rPr>
        <w:t>蔬菜播种面积</w:t>
      </w:r>
      <w:r>
        <w:rPr>
          <w:rFonts w:hint="default" w:ascii="Times New Roman" w:hAnsi="Times New Roman" w:eastAsia="仿宋_GB2312" w:cs="Times New Roman"/>
          <w:color w:val="auto"/>
          <w:sz w:val="32"/>
          <w:szCs w:val="32"/>
          <w:lang w:val="en-US" w:eastAsia="zh-CN"/>
        </w:rPr>
        <w:t>11.18</w:t>
      </w:r>
      <w:r>
        <w:rPr>
          <w:rFonts w:hint="default" w:ascii="Times New Roman" w:hAnsi="Times New Roman" w:eastAsia="仿宋_GB2312" w:cs="Times New Roman"/>
          <w:color w:val="auto"/>
          <w:sz w:val="32"/>
          <w:szCs w:val="32"/>
        </w:rPr>
        <w:t>万亩，增长</w:t>
      </w:r>
      <w:r>
        <w:rPr>
          <w:rFonts w:hint="default" w:ascii="Times New Roman" w:hAnsi="Times New Roman" w:eastAsia="仿宋_GB2312" w:cs="Times New Roman"/>
          <w:color w:val="auto"/>
          <w:sz w:val="32"/>
          <w:szCs w:val="32"/>
          <w:lang w:val="en-US" w:eastAsia="zh-CN"/>
        </w:rPr>
        <w:t>0.8</w:t>
      </w:r>
      <w:r>
        <w:rPr>
          <w:rFonts w:hint="default" w:ascii="Times New Roman" w:hAnsi="Times New Roman" w:eastAsia="仿宋_GB2312" w:cs="Times New Roman"/>
          <w:color w:val="auto"/>
          <w:sz w:val="32"/>
          <w:szCs w:val="32"/>
        </w:rPr>
        <w:t>%；总产</w:t>
      </w:r>
      <w:r>
        <w:rPr>
          <w:rFonts w:hint="default" w:ascii="Times New Roman" w:hAnsi="Times New Roman" w:eastAsia="仿宋_GB2312" w:cs="Times New Roman"/>
          <w:color w:val="auto"/>
          <w:sz w:val="32"/>
          <w:szCs w:val="32"/>
          <w:lang w:val="en-US" w:eastAsia="zh-CN"/>
        </w:rPr>
        <w:t>34.99</w:t>
      </w:r>
      <w:r>
        <w:rPr>
          <w:rFonts w:hint="default" w:ascii="Times New Roman" w:hAnsi="Times New Roman" w:eastAsia="仿宋_GB2312" w:cs="Times New Roman"/>
          <w:color w:val="auto"/>
          <w:sz w:val="32"/>
          <w:szCs w:val="32"/>
        </w:rPr>
        <w:t>万吨，</w:t>
      </w:r>
      <w:r>
        <w:rPr>
          <w:rFonts w:hint="default" w:ascii="Times New Roman" w:hAnsi="Times New Roman" w:eastAsia="仿宋_GB2312" w:cs="Times New Roman"/>
          <w:color w:val="auto"/>
          <w:sz w:val="32"/>
          <w:szCs w:val="32"/>
          <w:lang w:eastAsia="zh-CN"/>
        </w:rPr>
        <w:t>下降</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%。瓜果播种面积</w:t>
      </w:r>
      <w:r>
        <w:rPr>
          <w:rFonts w:hint="default" w:ascii="Times New Roman" w:hAnsi="Times New Roman" w:eastAsia="仿宋_GB2312" w:cs="Times New Roman"/>
          <w:color w:val="auto"/>
          <w:sz w:val="32"/>
          <w:szCs w:val="32"/>
          <w:lang w:val="en-US" w:eastAsia="zh-CN"/>
        </w:rPr>
        <w:t>1.53</w:t>
      </w:r>
      <w:r>
        <w:rPr>
          <w:rFonts w:hint="default" w:ascii="Times New Roman" w:hAnsi="Times New Roman" w:eastAsia="仿宋_GB2312" w:cs="Times New Roman"/>
          <w:color w:val="auto"/>
          <w:sz w:val="32"/>
          <w:szCs w:val="32"/>
        </w:rPr>
        <w:t>万亩，</w:t>
      </w:r>
      <w:r>
        <w:rPr>
          <w:rFonts w:hint="default" w:ascii="Times New Roman" w:hAnsi="Times New Roman" w:eastAsia="仿宋_GB2312" w:cs="Times New Roman"/>
          <w:color w:val="auto"/>
          <w:sz w:val="32"/>
          <w:szCs w:val="32"/>
          <w:lang w:eastAsia="zh-CN"/>
        </w:rPr>
        <w:t>增长</w:t>
      </w:r>
      <w:r>
        <w:rPr>
          <w:rFonts w:hint="default" w:ascii="Times New Roman" w:hAnsi="Times New Roman" w:eastAsia="仿宋_GB2312" w:cs="Times New Roman"/>
          <w:color w:val="auto"/>
          <w:sz w:val="32"/>
          <w:szCs w:val="32"/>
          <w:lang w:val="en-US" w:eastAsia="zh-CN"/>
        </w:rPr>
        <w:t>21.6</w:t>
      </w:r>
      <w:r>
        <w:rPr>
          <w:rFonts w:hint="default" w:ascii="Times New Roman" w:hAnsi="Times New Roman" w:eastAsia="仿宋_GB2312" w:cs="Times New Roman"/>
          <w:color w:val="auto"/>
          <w:sz w:val="32"/>
          <w:szCs w:val="32"/>
        </w:rPr>
        <w:t>%；总产</w:t>
      </w:r>
      <w:r>
        <w:rPr>
          <w:rFonts w:hint="default" w:ascii="Times New Roman" w:hAnsi="Times New Roman" w:eastAsia="仿宋_GB2312" w:cs="Times New Roman"/>
          <w:color w:val="auto"/>
          <w:sz w:val="32"/>
          <w:szCs w:val="32"/>
          <w:lang w:val="en-US" w:eastAsia="zh-CN"/>
        </w:rPr>
        <w:t>5.02</w:t>
      </w:r>
      <w:r>
        <w:rPr>
          <w:rFonts w:hint="default" w:ascii="Times New Roman" w:hAnsi="Times New Roman" w:eastAsia="仿宋_GB2312" w:cs="Times New Roman"/>
          <w:color w:val="auto"/>
          <w:sz w:val="32"/>
          <w:szCs w:val="32"/>
        </w:rPr>
        <w:t>万吨，</w:t>
      </w:r>
      <w:r>
        <w:rPr>
          <w:rFonts w:hint="default" w:ascii="Times New Roman" w:hAnsi="Times New Roman" w:eastAsia="仿宋_GB2312" w:cs="Times New Roman"/>
          <w:color w:val="auto"/>
          <w:sz w:val="32"/>
          <w:szCs w:val="32"/>
          <w:lang w:eastAsia="zh-CN"/>
        </w:rPr>
        <w:t>增长</w:t>
      </w:r>
      <w:r>
        <w:rPr>
          <w:rFonts w:hint="default" w:ascii="Times New Roman" w:hAnsi="Times New Roman" w:eastAsia="仿宋_GB2312" w:cs="Times New Roman"/>
          <w:color w:val="auto"/>
          <w:sz w:val="32"/>
          <w:szCs w:val="32"/>
          <w:lang w:val="en-US" w:eastAsia="zh-CN"/>
        </w:rPr>
        <w:t>19.9</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bidi="ar-SA"/>
        </w:rPr>
        <w:t>畜牧业生产总体平稳。</w:t>
      </w:r>
      <w:r>
        <w:rPr>
          <w:rFonts w:hint="default" w:ascii="Times New Roman" w:hAnsi="Times New Roman" w:eastAsia="仿宋_GB2312" w:cs="Times New Roman"/>
          <w:color w:val="auto"/>
          <w:sz w:val="32"/>
          <w:szCs w:val="32"/>
          <w:lang w:val="en-US" w:eastAsia="zh-CN"/>
        </w:rPr>
        <w:t>生猪年末存栏14.75万头，同比减少2.36万头，下降13.8%；全年出栏23.33万头，同比增加7.94万头，增长51.6%，呈现存少出多趋势。家禽年末存栏198.89万只，下降5.3%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lang w:val="en-US" w:eastAsia="zh-CN"/>
        </w:rPr>
        <w:t>全年出栏790.94万只，下降26.9%；禽蛋产量1.14万吨，增长1.1%。肉禽市场活跃度有所收缩，禽蛋需求量与上年持平。</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渔业生产稳步发展。</w:t>
      </w:r>
      <w:r>
        <w:rPr>
          <w:rFonts w:hint="default" w:ascii="Times New Roman" w:hAnsi="Times New Roman" w:eastAsia="仿宋_GB2312" w:cs="Times New Roman"/>
          <w:color w:val="auto"/>
          <w:kern w:val="2"/>
          <w:sz w:val="32"/>
          <w:szCs w:val="32"/>
          <w:lang w:val="en-US" w:eastAsia="zh-CN" w:bidi="ar-SA"/>
        </w:rPr>
        <w:t>围绕高效渔业项目建设，推动产业升级，以科技入户项目为载体，加快科技成果快速转化，大力发展藕虾、稻虾立体综合种养模式，生产稳步发展。水产品产量累计30540吨，同比增长3.1%</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lang w:val="en-US" w:eastAsia="zh-CN" w:bidi="ar-SA"/>
        </w:rPr>
        <w:t>其中，淡水鱼类26154吨，增长4.07%</w:t>
      </w:r>
      <w:r>
        <w:rPr>
          <w:rFonts w:hint="default"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lang w:val="en-US" w:eastAsia="zh-CN" w:bidi="ar-SA"/>
        </w:rPr>
        <w:t>甲壳类产量4320吨，下降1.82%。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eastAsia="楷体_GB2312" w:cs="Times New Roman"/>
          <w:b w:val="0"/>
          <w:bCs w:val="0"/>
          <w:color w:val="auto"/>
          <w:kern w:val="2"/>
          <w:sz w:val="32"/>
          <w:szCs w:val="32"/>
          <w:lang w:val="en-US" w:eastAsia="zh-CN" w:bidi="ar-SA"/>
        </w:rPr>
        <w:t>农业发展</w:t>
      </w:r>
      <w:r>
        <w:rPr>
          <w:rFonts w:hint="default" w:ascii="Times New Roman" w:hAnsi="Times New Roman" w:eastAsia="楷体" w:cs="Times New Roman"/>
          <w:color w:val="auto"/>
          <w:sz w:val="32"/>
          <w:szCs w:val="32"/>
          <w:lang w:val="en-US" w:eastAsia="zh-CN"/>
        </w:rPr>
        <w:t>提品升级</w:t>
      </w:r>
      <w:r>
        <w:rPr>
          <w:rFonts w:hint="default" w:ascii="Times New Roman" w:hAnsi="Times New Roman" w:eastAsia="楷体_GB2312" w:cs="Times New Roman"/>
          <w:b w:val="0"/>
          <w:bCs w:val="0"/>
          <w:color w:val="auto"/>
          <w:kern w:val="2"/>
          <w:sz w:val="32"/>
          <w:szCs w:val="32"/>
          <w:lang w:val="en-US" w:eastAsia="zh-CN" w:bidi="ar-SA"/>
        </w:rPr>
        <w:t>。</w:t>
      </w:r>
      <w:r>
        <w:rPr>
          <w:rFonts w:hint="eastAsia" w:ascii="Times New Roman" w:hAnsi="Times New Roman" w:eastAsia="仿宋_GB2312" w:cs="Times New Roman"/>
          <w:color w:val="auto"/>
          <w:sz w:val="32"/>
          <w:szCs w:val="32"/>
          <w:lang w:val="en-US" w:eastAsia="zh-CN"/>
        </w:rPr>
        <w:t>农业投入进一步加大，</w:t>
      </w:r>
      <w:r>
        <w:rPr>
          <w:rFonts w:hint="default" w:ascii="Times New Roman" w:hAnsi="Times New Roman" w:eastAsia="仿宋_GB2312" w:cs="Times New Roman"/>
          <w:color w:val="auto"/>
          <w:sz w:val="32"/>
          <w:szCs w:val="32"/>
          <w:lang w:val="en-US" w:eastAsia="zh-CN"/>
        </w:rPr>
        <w:t>新签约农业重大项目22个，其中超亿元项目9个；全年</w:t>
      </w:r>
      <w:r>
        <w:rPr>
          <w:rFonts w:hint="default" w:ascii="Times New Roman" w:hAnsi="Times New Roman" w:eastAsia="仿宋_GB2312" w:cs="Times New Roman"/>
          <w:color w:val="auto"/>
          <w:sz w:val="32"/>
          <w:szCs w:val="32"/>
        </w:rPr>
        <w:t>纳入重点推进项目3</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个，其中亿元以上项目11个</w:t>
      </w:r>
      <w:r>
        <w:rPr>
          <w:rFonts w:hint="default" w:ascii="Times New Roman" w:hAnsi="Times New Roman" w:eastAsia="仿宋_GB2312" w:cs="Times New Roman"/>
          <w:bCs/>
          <w:color w:val="auto"/>
          <w:spacing w:val="-6"/>
          <w:sz w:val="32"/>
          <w:szCs w:val="32"/>
          <w:lang w:eastAsia="zh-CN"/>
        </w:rPr>
        <w:t>。</w:t>
      </w:r>
      <w:r>
        <w:rPr>
          <w:rFonts w:hint="default" w:ascii="Times New Roman" w:hAnsi="Times New Roman" w:eastAsia="仿宋_GB2312" w:cs="Times New Roman"/>
          <w:color w:val="auto"/>
          <w:sz w:val="32"/>
          <w:szCs w:val="32"/>
          <w:lang w:val="en-US" w:eastAsia="zh-CN"/>
        </w:rPr>
        <w:t>新增生态高效农业面积2.8万亩，其中设施农业面积8200亩，</w:t>
      </w:r>
      <w:r>
        <w:rPr>
          <w:rFonts w:hint="default" w:ascii="Times New Roman" w:hAnsi="Times New Roman" w:eastAsia="仿宋_GB2312" w:cs="Times New Roman"/>
          <w:b w:val="0"/>
          <w:bCs w:val="0"/>
          <w:color w:val="auto"/>
          <w:kern w:val="0"/>
          <w:sz w:val="32"/>
          <w:szCs w:val="32"/>
          <w:highlight w:val="none"/>
          <w:lang w:val="en-US" w:eastAsia="zh-CN"/>
        </w:rPr>
        <w:t>成功入选国家级农业现代化示范区创建名单</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Cs/>
          <w:color w:val="auto"/>
          <w:sz w:val="32"/>
          <w:szCs w:val="32"/>
          <w:lang w:val="en-US" w:eastAsia="zh-CN"/>
        </w:rPr>
        <w:t>江苏绿港获评第七批农业产业化国家重点龙头企业，于新三板成功上市；</w:t>
      </w:r>
      <w:r>
        <w:rPr>
          <w:rFonts w:hint="default" w:ascii="Times New Roman" w:hAnsi="Times New Roman" w:eastAsia="仿宋_GB2312" w:cs="Times New Roman"/>
          <w:b w:val="0"/>
          <w:bCs/>
          <w:color w:val="auto"/>
          <w:kern w:val="2"/>
          <w:sz w:val="32"/>
          <w:szCs w:val="32"/>
          <w:lang w:val="en-US" w:eastAsia="zh-CN" w:bidi="ar-SA"/>
        </w:rPr>
        <w:t>完成高素质农民培训2603人。</w:t>
      </w:r>
      <w:r>
        <w:rPr>
          <w:rFonts w:hint="default" w:ascii="Times New Roman" w:hAnsi="Times New Roman" w:eastAsia="仿宋_GB2312" w:cs="Times New Roman"/>
          <w:bCs/>
          <w:color w:val="auto"/>
          <w:sz w:val="32"/>
          <w:szCs w:val="32"/>
          <w:lang w:val="en-US" w:eastAsia="zh-CN"/>
        </w:rPr>
        <w:t>“洋北西瓜”成功获批单品类区域公用品牌，并列入省农业品牌目录。</w:t>
      </w:r>
    </w:p>
    <w:p>
      <w:pPr>
        <w:spacing w:after="0"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三、工业和建筑业</w:t>
      </w:r>
    </w:p>
    <w:p>
      <w:pPr>
        <w:spacing w:after="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工业生产</w:t>
      </w:r>
      <w:r>
        <w:rPr>
          <w:rFonts w:hint="eastAsia" w:ascii="Times New Roman" w:hAnsi="Times New Roman" w:eastAsia="楷体" w:cs="Times New Roman"/>
          <w:color w:val="auto"/>
          <w:sz w:val="32"/>
          <w:szCs w:val="32"/>
          <w:lang w:eastAsia="zh-CN"/>
        </w:rPr>
        <w:t>发展较快</w:t>
      </w:r>
      <w:r>
        <w:rPr>
          <w:rFonts w:hint="default" w:ascii="Times New Roman" w:hAnsi="Times New Roman" w:eastAsia="楷体" w:cs="Times New Roman"/>
          <w:color w:val="auto"/>
          <w:sz w:val="32"/>
          <w:szCs w:val="32"/>
        </w:rPr>
        <w:t>。</w:t>
      </w:r>
      <w:r>
        <w:rPr>
          <w:rFonts w:hint="default" w:ascii="Times New Roman" w:hAnsi="Times New Roman" w:eastAsia="仿宋_GB2312" w:cs="Times New Roman"/>
          <w:color w:val="auto"/>
          <w:sz w:val="32"/>
          <w:szCs w:val="32"/>
          <w:lang w:val="en-US" w:eastAsia="zh-CN"/>
        </w:rPr>
        <w:t>全年实现规上工业总产值284.15亿元，同比增长32%。</w:t>
      </w:r>
      <w:r>
        <w:rPr>
          <w:rFonts w:hint="eastAsia" w:ascii="Times New Roman" w:hAnsi="Times New Roman" w:eastAsia="仿宋_GB2312" w:cs="Times New Roman"/>
          <w:color w:val="auto"/>
          <w:sz w:val="32"/>
          <w:szCs w:val="32"/>
          <w:lang w:val="en-US" w:eastAsia="zh-CN"/>
        </w:rPr>
        <w:t>规上工业</w:t>
      </w:r>
      <w:r>
        <w:rPr>
          <w:rFonts w:hint="default" w:ascii="Times New Roman" w:hAnsi="Times New Roman" w:eastAsia="仿宋_GB2312" w:cs="Times New Roman"/>
          <w:color w:val="auto"/>
          <w:sz w:val="32"/>
          <w:szCs w:val="32"/>
          <w:lang w:val="en-US" w:eastAsia="zh-CN"/>
        </w:rPr>
        <w:t>增加值增速18.3%，比</w:t>
      </w:r>
      <w:r>
        <w:rPr>
          <w:rFonts w:hint="eastAsia" w:ascii="Times New Roman" w:hAnsi="Times New Roman" w:eastAsia="仿宋_GB2312" w:cs="Times New Roman"/>
          <w:color w:val="auto"/>
          <w:sz w:val="32"/>
          <w:szCs w:val="32"/>
          <w:lang w:val="en-US" w:eastAsia="zh-CN"/>
        </w:rPr>
        <w:t>去年同期提</w:t>
      </w:r>
      <w:r>
        <w:rPr>
          <w:rFonts w:hint="default" w:ascii="Times New Roman" w:hAnsi="Times New Roman" w:eastAsia="仿宋_GB2312" w:cs="Times New Roman"/>
          <w:color w:val="auto"/>
          <w:sz w:val="32"/>
          <w:szCs w:val="32"/>
          <w:lang w:val="en-US" w:eastAsia="zh-CN"/>
        </w:rPr>
        <w:t>高</w:t>
      </w:r>
      <w:r>
        <w:rPr>
          <w:rFonts w:hint="eastAsia" w:ascii="Times New Roman" w:hAnsi="Times New Roman" w:eastAsia="仿宋_GB2312" w:cs="Times New Roman"/>
          <w:color w:val="auto"/>
          <w:sz w:val="32"/>
          <w:szCs w:val="32"/>
          <w:lang w:val="en-US" w:eastAsia="zh-CN"/>
        </w:rPr>
        <w:t>12.3</w:t>
      </w:r>
      <w:r>
        <w:rPr>
          <w:rFonts w:hint="default" w:ascii="Times New Roman" w:hAnsi="Times New Roman" w:eastAsia="仿宋_GB2312" w:cs="Times New Roman"/>
          <w:color w:val="auto"/>
          <w:sz w:val="32"/>
          <w:szCs w:val="32"/>
          <w:lang w:val="en-US" w:eastAsia="zh-CN"/>
        </w:rPr>
        <w:t>个百分点。</w:t>
      </w:r>
    </w:p>
    <w:p>
      <w:pPr>
        <w:spacing w:after="0" w:line="480" w:lineRule="auto"/>
        <w:ind w:firstLine="440" w:firstLineChars="200"/>
        <w:jc w:val="both"/>
        <w:rPr>
          <w:rFonts w:hint="default" w:ascii="Times New Roman" w:hAnsi="Times New Roman" w:eastAsia="仿宋_GB2312" w:cs="Times New Roman"/>
          <w:color w:val="0000FF"/>
          <w:sz w:val="32"/>
          <w:szCs w:val="32"/>
        </w:rPr>
      </w:pPr>
      <w:r>
        <w:rPr>
          <w:rFonts w:hint="default" w:ascii="Times New Roman" w:hAnsi="Times New Roman" w:cs="Times New Roman"/>
        </w:rPr>
        <w:drawing>
          <wp:inline distT="0" distB="0" distL="114300" distR="114300">
            <wp:extent cx="5090160" cy="2743200"/>
            <wp:effectExtent l="4445" t="4445" r="10795" b="10795"/>
            <wp:docPr id="1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after="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效益指标</w:t>
      </w:r>
      <w:r>
        <w:rPr>
          <w:rFonts w:hint="default" w:ascii="Times New Roman" w:hAnsi="Times New Roman" w:eastAsia="楷体" w:cs="Times New Roman"/>
          <w:color w:val="auto"/>
          <w:sz w:val="32"/>
          <w:szCs w:val="32"/>
          <w:lang w:eastAsia="zh-CN"/>
        </w:rPr>
        <w:t>增长稳</w:t>
      </w:r>
      <w:r>
        <w:rPr>
          <w:rFonts w:hint="default" w:ascii="Times New Roman" w:hAnsi="Times New Roman" w:eastAsia="楷体" w:cs="Times New Roman"/>
          <w:color w:val="auto"/>
          <w:sz w:val="32"/>
          <w:szCs w:val="32"/>
          <w:lang w:val="en-US" w:eastAsia="zh-CN"/>
        </w:rPr>
        <w:t>步。</w:t>
      </w:r>
      <w:r>
        <w:rPr>
          <w:rFonts w:hint="default" w:ascii="Times New Roman" w:hAnsi="Times New Roman" w:eastAsia="仿宋_GB2312" w:cs="Times New Roman"/>
          <w:color w:val="auto"/>
          <w:sz w:val="32"/>
          <w:szCs w:val="32"/>
        </w:rPr>
        <w:t>全区规上工业企业实现营业收入275.88亿元，同比增长1.9%，实现利润总额11.63亿元，同比增长22.7%，</w:t>
      </w:r>
      <w:r>
        <w:rPr>
          <w:rFonts w:hint="eastAsia" w:ascii="Times New Roman" w:hAnsi="Times New Roman" w:eastAsia="仿宋_GB2312" w:cs="Times New Roman"/>
          <w:color w:val="auto"/>
          <w:sz w:val="32"/>
          <w:szCs w:val="32"/>
          <w:lang w:eastAsia="zh-CN"/>
        </w:rPr>
        <w:t>经济效益回暖显著</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rPr>
          <w:rFonts w:hint="default" w:ascii="Times New Roman" w:hAnsi="Times New Roman" w:eastAsia="仿宋_GB2312" w:cs="Times New Roman"/>
          <w:color w:val="0000FF"/>
          <w:sz w:val="32"/>
          <w:szCs w:val="32"/>
          <w:lang w:val="en-US" w:eastAsia="zh-CN"/>
        </w:rPr>
      </w:pPr>
      <w:r>
        <w:rPr>
          <w:rFonts w:hint="eastAsia" w:ascii="Times New Roman" w:hAnsi="Times New Roman" w:eastAsia="楷体" w:cs="Times New Roman"/>
          <w:color w:val="auto"/>
          <w:sz w:val="32"/>
          <w:szCs w:val="32"/>
          <w:lang w:val="en-US" w:eastAsia="zh-CN"/>
        </w:rPr>
        <w:t>产业链培育有序推进</w:t>
      </w:r>
      <w:r>
        <w:rPr>
          <w:rFonts w:hint="default" w:ascii="Times New Roman" w:hAnsi="Times New Roman" w:eastAsia="楷体"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坚持高点定位，系统谋划，深入落实重点产业链培育“八个一”工作机制，列市的15条产业链实现产值226.96亿元，完成年度目标118.9%</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纺织服装、绿色建材、激光光电三大主导产业实现规上产值92.3亿元、58.63亿元、19.19亿元，同比分别增长41.0%、24.5%、43.3%。四大先导产业产值增长61.2%，“3+4”产业产值占规上工业总产值比重较上年提高3个百分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center"/>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color w:val="auto"/>
          <w:sz w:val="32"/>
          <w:szCs w:val="32"/>
        </w:rPr>
        <w:t>表1   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年规上工业主要产品产量</w:t>
      </w:r>
    </w:p>
    <w:tbl>
      <w:tblPr>
        <w:tblStyle w:val="9"/>
        <w:tblW w:w="7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88"/>
        <w:gridCol w:w="1380"/>
        <w:gridCol w:w="1584"/>
        <w:gridCol w:w="1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adjustRightInd/>
              <w:snapToGrid/>
              <w:spacing w:after="0"/>
              <w:jc w:val="center"/>
              <w:rPr>
                <w:rFonts w:hint="default" w:ascii="Times New Roman" w:hAnsi="Times New Roman" w:eastAsia="宋体" w:cs="Times New Roman"/>
                <w:i w:val="0"/>
                <w:iCs w:val="0"/>
                <w:color w:val="000000"/>
                <w:kern w:val="0"/>
                <w:sz w:val="24"/>
                <w:szCs w:val="24"/>
                <w:u w:val="none"/>
                <w:lang w:val="en-US" w:eastAsia="zh-CN" w:bidi="ar"/>
              </w:rPr>
            </w:pPr>
            <w:r>
              <w:rPr>
                <w:rFonts w:ascii="Times New Roman" w:hAnsi="宋体" w:eastAsia="宋体" w:cs="Times New Roman"/>
                <w:color w:val="000000"/>
                <w:sz w:val="24"/>
                <w:szCs w:val="24"/>
              </w:rPr>
              <w:t>产品名称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adjustRightInd/>
              <w:snapToGrid/>
              <w:spacing w:after="0"/>
              <w:jc w:val="center"/>
              <w:rPr>
                <w:rFonts w:hint="default" w:ascii="Times New Roman" w:hAnsi="Times New Roman" w:eastAsia="宋体" w:cs="Times New Roman"/>
                <w:i w:val="0"/>
                <w:iCs w:val="0"/>
                <w:color w:val="000000"/>
                <w:kern w:val="0"/>
                <w:sz w:val="24"/>
                <w:szCs w:val="24"/>
                <w:u w:val="none"/>
                <w:lang w:val="en-US" w:eastAsia="zh-CN" w:bidi="ar"/>
              </w:rPr>
            </w:pPr>
            <w:r>
              <w:rPr>
                <w:rFonts w:ascii="Times New Roman" w:hAnsi="宋体" w:eastAsia="宋体" w:cs="Times New Roman"/>
                <w:color w:val="000000"/>
                <w:sz w:val="24"/>
                <w:szCs w:val="24"/>
              </w:rPr>
              <w:t>计量单位</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adjustRightInd/>
              <w:snapToGrid/>
              <w:spacing w:after="0"/>
              <w:rPr>
                <w:rFonts w:hint="default" w:ascii="Times New Roman" w:hAnsi="Times New Roman" w:eastAsia="宋体" w:cs="Times New Roman"/>
                <w:i w:val="0"/>
                <w:iCs w:val="0"/>
                <w:color w:val="000000"/>
                <w:kern w:val="0"/>
                <w:sz w:val="24"/>
                <w:szCs w:val="24"/>
                <w:u w:val="none"/>
                <w:lang w:val="en-US" w:eastAsia="zh-CN" w:bidi="ar"/>
              </w:rPr>
            </w:pPr>
            <w:r>
              <w:rPr>
                <w:rFonts w:ascii="Times New Roman" w:hAnsi="宋体" w:eastAsia="宋体" w:cs="Times New Roman"/>
                <w:color w:val="000000"/>
                <w:sz w:val="24"/>
                <w:szCs w:val="24"/>
              </w:rPr>
              <w:t>产量</w:t>
            </w:r>
          </w:p>
        </w:tc>
        <w:tc>
          <w:tcPr>
            <w:tcW w:w="1524" w:type="dxa"/>
            <w:tcBorders>
              <w:top w:val="single" w:color="000000" w:sz="4" w:space="0"/>
              <w:left w:val="single" w:color="000000" w:sz="4" w:space="0"/>
              <w:bottom w:val="single" w:color="000000" w:sz="4" w:space="0"/>
              <w:right w:val="nil"/>
            </w:tcBorders>
            <w:shd w:val="clear" w:color="auto" w:fill="auto"/>
            <w:noWrap/>
            <w:vAlign w:val="bottom"/>
          </w:tcPr>
          <w:p>
            <w:pPr>
              <w:adjustRightInd/>
              <w:snapToGrid/>
              <w:spacing w:after="0"/>
              <w:jc w:val="center"/>
              <w:rPr>
                <w:rFonts w:hint="default" w:ascii="Times New Roman" w:hAnsi="Times New Roman" w:eastAsia="宋体" w:cs="Times New Roman"/>
                <w:i w:val="0"/>
                <w:iCs w:val="0"/>
                <w:color w:val="000000"/>
                <w:kern w:val="0"/>
                <w:sz w:val="24"/>
                <w:szCs w:val="24"/>
                <w:u w:val="none"/>
                <w:lang w:val="en-US" w:eastAsia="zh-CN" w:bidi="ar"/>
              </w:rPr>
            </w:pPr>
            <w:r>
              <w:rPr>
                <w:rFonts w:ascii="Times New Roman" w:hAnsi="宋体" w:eastAsia="宋体" w:cs="Times New Roman"/>
                <w:color w:val="000000"/>
                <w:sz w:val="24"/>
                <w:szCs w:val="24"/>
              </w:rPr>
              <w:t>增长（</w:t>
            </w:r>
            <w:r>
              <w:rPr>
                <w:rFonts w:ascii="Times New Roman" w:hAnsi="Times New Roman" w:eastAsia="宋体" w:cs="Times New Roman"/>
                <w:color w:val="000000"/>
                <w:sz w:val="24"/>
                <w:szCs w:val="24"/>
              </w:rPr>
              <w:t>%</w:t>
            </w:r>
            <w:r>
              <w:rPr>
                <w:rFonts w:ascii="Times New Roman" w:hAnsi="宋体" w:eastAsia="宋体" w:cs="Times New Roman"/>
                <w:color w:val="00000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小麦粉</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665559</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大米</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14033</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饲料</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428061.65</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化学纤维</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186883</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饮料酒</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千升</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41120.66</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1452</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万米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19611.43</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绒线（俗称毛线）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411.32</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机制纸及纸板（外购原纸加工除外）</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685</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纸制品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23426.69</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毛纱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1989</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毛机织物（呢绒）</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万米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750.84</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非织造布（无纺布）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5195</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万件</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4052.39</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人造板</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立方米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408617.39</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变压器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千伏安</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344062.56</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互感器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11130</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金属包装容器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7557</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电子工业专用设备</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台</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铸铁件</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25624</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钢材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30671</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金属门窗及类似制品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3416.2</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金属压力容器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5016</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玻璃包装容器</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27143</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玻璃纤维纱</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2830</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预应力混凝土桩</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1566807.55</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塑料制品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30621</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水泥</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吨</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296241</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3188"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商品混凝土</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立方米</w:t>
            </w:r>
          </w:p>
        </w:tc>
        <w:tc>
          <w:tcPr>
            <w:tcW w:w="15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3455981.12</w:t>
            </w:r>
          </w:p>
        </w:tc>
        <w:tc>
          <w:tcPr>
            <w:tcW w:w="152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26.4</w:t>
            </w:r>
          </w:p>
        </w:tc>
      </w:tr>
    </w:tbl>
    <w:p>
      <w:pPr>
        <w:spacing w:after="0" w:line="56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rPr>
        <w:t>建筑业平稳增长。</w:t>
      </w:r>
      <w:r>
        <w:rPr>
          <w:rFonts w:hint="eastAsia" w:ascii="Times New Roman" w:hAnsi="Times New Roman" w:eastAsia="仿宋_GB2312" w:cs="Times New Roman"/>
          <w:color w:val="auto"/>
          <w:sz w:val="32"/>
          <w:szCs w:val="32"/>
          <w:highlight w:val="none"/>
          <w:lang w:val="en-US" w:eastAsia="zh-CN"/>
        </w:rPr>
        <w:t>全年</w:t>
      </w:r>
      <w:r>
        <w:rPr>
          <w:rFonts w:hint="default" w:ascii="Times New Roman" w:hAnsi="Times New Roman" w:eastAsia="仿宋_GB2312" w:cs="Times New Roman"/>
          <w:color w:val="auto"/>
          <w:sz w:val="32"/>
          <w:szCs w:val="32"/>
          <w:highlight w:val="none"/>
          <w:lang w:val="en-US" w:eastAsia="zh-CN"/>
        </w:rPr>
        <w:t>114家在库建筑业企业完成建筑业总产值74.2亿元，同比增长8.8%，</w:t>
      </w:r>
      <w:r>
        <w:rPr>
          <w:rFonts w:hint="default" w:ascii="Times New Roman" w:hAnsi="Times New Roman" w:eastAsia="仿宋_GB2312" w:cs="Times New Roman"/>
          <w:color w:val="auto"/>
          <w:sz w:val="32"/>
          <w:szCs w:val="32"/>
        </w:rPr>
        <w:t>比去年同期上升</w:t>
      </w:r>
      <w:r>
        <w:rPr>
          <w:rFonts w:hint="default" w:ascii="Times New Roman" w:hAnsi="Times New Roman" w:eastAsia="仿宋_GB2312" w:cs="Times New Roman"/>
          <w:color w:val="auto"/>
          <w:sz w:val="32"/>
          <w:szCs w:val="32"/>
          <w:lang w:val="en-US" w:eastAsia="zh-CN"/>
        </w:rPr>
        <w:t>3.5个百分点。其中</w:t>
      </w:r>
      <w:r>
        <w:rPr>
          <w:rFonts w:hint="default" w:ascii="Times New Roman" w:hAnsi="Times New Roman" w:eastAsia="仿宋_GB2312" w:cs="Times New Roman"/>
          <w:color w:val="auto"/>
          <w:sz w:val="32"/>
          <w:szCs w:val="32"/>
          <w:highlight w:val="none"/>
          <w:lang w:val="en-US" w:eastAsia="zh-CN"/>
        </w:rPr>
        <w:t>建筑工程产值71.1亿元，增长8.9%</w:t>
      </w:r>
      <w:r>
        <w:rPr>
          <w:rFonts w:hint="eastAsia" w:ascii="Times New Roman" w:hAnsi="Times New Roman" w:eastAsia="仿宋_GB2312" w:cs="Times New Roman"/>
          <w:color w:val="auto"/>
          <w:sz w:val="32"/>
          <w:szCs w:val="32"/>
          <w:highlight w:val="none"/>
          <w:lang w:val="en-US" w:eastAsia="zh-CN"/>
        </w:rPr>
        <w:t>，占比95.8%</w:t>
      </w:r>
      <w:r>
        <w:rPr>
          <w:rFonts w:hint="default" w:ascii="Times New Roman" w:hAnsi="Times New Roman" w:eastAsia="仿宋_GB2312" w:cs="Times New Roman"/>
          <w:color w:val="auto"/>
          <w:sz w:val="32"/>
          <w:szCs w:val="32"/>
          <w:highlight w:val="none"/>
          <w:lang w:val="en-US" w:eastAsia="zh-CN"/>
        </w:rPr>
        <w:t>；安装工程产值2.5亿元，增长7.5%</w:t>
      </w:r>
      <w:r>
        <w:rPr>
          <w:rFonts w:hint="eastAsia" w:ascii="Times New Roman" w:hAnsi="Times New Roman" w:eastAsia="仿宋_GB2312" w:cs="Times New Roman"/>
          <w:color w:val="auto"/>
          <w:sz w:val="32"/>
          <w:szCs w:val="32"/>
          <w:highlight w:val="none"/>
          <w:lang w:val="en-US" w:eastAsia="zh-CN"/>
        </w:rPr>
        <w:t>，占比3.4%</w:t>
      </w:r>
      <w:r>
        <w:rPr>
          <w:rFonts w:hint="default" w:ascii="Times New Roman" w:hAnsi="Times New Roman" w:eastAsia="仿宋_GB2312" w:cs="Times New Roman"/>
          <w:color w:val="auto"/>
          <w:sz w:val="32"/>
          <w:szCs w:val="32"/>
          <w:highlight w:val="none"/>
          <w:lang w:val="en-US" w:eastAsia="zh-CN"/>
        </w:rPr>
        <w:t>；其他产值0.</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亿元，增长4.8%</w:t>
      </w:r>
      <w:r>
        <w:rPr>
          <w:rFonts w:hint="eastAsia" w:ascii="Times New Roman" w:hAnsi="Times New Roman" w:eastAsia="仿宋_GB2312" w:cs="Times New Roman"/>
          <w:color w:val="auto"/>
          <w:sz w:val="32"/>
          <w:szCs w:val="32"/>
          <w:highlight w:val="none"/>
          <w:lang w:val="en-US" w:eastAsia="zh-CN"/>
        </w:rPr>
        <w:t>，占比0.8%</w:t>
      </w:r>
      <w:r>
        <w:rPr>
          <w:rFonts w:hint="default" w:ascii="Times New Roman" w:hAnsi="Times New Roman" w:eastAsia="仿宋_GB2312" w:cs="Times New Roman"/>
          <w:color w:val="auto"/>
          <w:sz w:val="32"/>
          <w:szCs w:val="32"/>
          <w:highlight w:val="none"/>
          <w:lang w:val="en-US" w:eastAsia="zh-CN"/>
        </w:rPr>
        <w:t>。</w:t>
      </w:r>
    </w:p>
    <w:p>
      <w:pPr>
        <w:pStyle w:val="12"/>
        <w:numPr>
          <w:ilvl w:val="0"/>
          <w:numId w:val="1"/>
        </w:numPr>
        <w:spacing w:after="0" w:line="560" w:lineRule="exact"/>
        <w:ind w:firstLineChars="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固定资产投资</w:t>
      </w:r>
    </w:p>
    <w:p>
      <w:pPr>
        <w:widowControl w:val="0"/>
        <w:spacing w:after="0"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color w:val="auto"/>
          <w:sz w:val="32"/>
          <w:szCs w:val="32"/>
        </w:rPr>
        <w:t>固定资产投资</w:t>
      </w:r>
      <w:r>
        <w:rPr>
          <w:rFonts w:hint="default" w:ascii="Times New Roman" w:hAnsi="Times New Roman" w:eastAsia="楷体" w:cs="Times New Roman"/>
          <w:color w:val="auto"/>
          <w:sz w:val="32"/>
          <w:szCs w:val="32"/>
          <w:lang w:eastAsia="zh-CN"/>
        </w:rPr>
        <w:t>平稳</w:t>
      </w:r>
      <w:r>
        <w:rPr>
          <w:rFonts w:hint="default" w:ascii="Times New Roman" w:hAnsi="Times New Roman" w:eastAsia="楷体" w:cs="Times New Roman"/>
          <w:color w:val="auto"/>
          <w:sz w:val="32"/>
          <w:szCs w:val="32"/>
        </w:rPr>
        <w:t>增长。</w:t>
      </w:r>
      <w:r>
        <w:rPr>
          <w:rFonts w:hint="eastAsia" w:ascii="Times New Roman" w:hAnsi="Times New Roman" w:eastAsia="仿宋_GB2312" w:cs="Times New Roman"/>
          <w:color w:val="auto"/>
          <w:sz w:val="32"/>
          <w:szCs w:val="32"/>
          <w:lang w:val="en-US" w:eastAsia="zh-CN"/>
        </w:rPr>
        <w:t>全年</w:t>
      </w:r>
      <w:r>
        <w:rPr>
          <w:rFonts w:hint="default" w:ascii="Times New Roman" w:hAnsi="Times New Roman" w:eastAsia="仿宋_GB2312" w:cs="Times New Roman"/>
          <w:color w:val="auto"/>
          <w:sz w:val="32"/>
          <w:szCs w:val="32"/>
          <w:lang w:val="en-US" w:eastAsia="zh-CN"/>
        </w:rPr>
        <w:t>规模以上固定资产投资同比增长8.7%。</w:t>
      </w:r>
      <w:r>
        <w:rPr>
          <w:rFonts w:hint="default" w:ascii="Times New Roman" w:hAnsi="Times New Roman" w:eastAsia="仿宋_GB2312" w:cs="Times New Roman"/>
          <w:b/>
          <w:bCs/>
          <w:sz w:val="32"/>
          <w:szCs w:val="32"/>
          <w:lang w:val="en-US" w:eastAsia="zh-CN"/>
        </w:rPr>
        <w:t>从产业看</w:t>
      </w:r>
      <w:r>
        <w:rPr>
          <w:rFonts w:hint="default" w:ascii="Times New Roman" w:hAnsi="Times New Roman" w:eastAsia="仿宋_GB2312" w:cs="Times New Roman"/>
          <w:sz w:val="32"/>
          <w:szCs w:val="32"/>
          <w:lang w:val="en-US" w:eastAsia="zh-CN"/>
        </w:rPr>
        <w:t>：一、二、三产业投资分别占总投资的1.0%、35.6%和63.4%，同比增速分别为-16.2%、22.5%和-1.0%</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从规模看：</w:t>
      </w:r>
      <w:r>
        <w:rPr>
          <w:rFonts w:hint="default" w:ascii="Times New Roman" w:hAnsi="Times New Roman" w:eastAsia="仿宋_GB2312" w:cs="Times New Roman"/>
          <w:sz w:val="32"/>
          <w:szCs w:val="32"/>
          <w:lang w:val="en-US" w:eastAsia="zh-CN"/>
        </w:rPr>
        <w:t>5000万元以上项目投资同比增长14.9%，500-5000万元项目投资同比增长10.4%。</w:t>
      </w:r>
      <w:r>
        <w:rPr>
          <w:rFonts w:hint="default" w:ascii="Times New Roman" w:hAnsi="Times New Roman" w:eastAsia="仿宋_GB2312" w:cs="Times New Roman"/>
          <w:b/>
          <w:bCs/>
          <w:sz w:val="32"/>
          <w:szCs w:val="32"/>
          <w:lang w:val="en-US" w:eastAsia="zh-CN"/>
        </w:rPr>
        <w:t>从结构看：</w:t>
      </w:r>
      <w:r>
        <w:rPr>
          <w:rFonts w:hint="default" w:ascii="Times New Roman" w:hAnsi="Times New Roman" w:eastAsia="仿宋_GB2312" w:cs="Times New Roman"/>
          <w:sz w:val="32"/>
          <w:szCs w:val="32"/>
          <w:lang w:val="en-US" w:eastAsia="zh-CN"/>
        </w:rPr>
        <w:t>工业投资同比增长22.5%，房地产开发投资同比增长6.2%，基础设施投资同比下降11.1%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工业投资增长显著，产业结构进一步升级。</w:t>
      </w:r>
    </w:p>
    <w:p>
      <w:pPr>
        <w:widowControl w:val="0"/>
        <w:spacing w:after="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 w:cs="Times New Roman"/>
          <w:bCs/>
          <w:color w:val="auto"/>
          <w:sz w:val="32"/>
          <w:szCs w:val="32"/>
        </w:rPr>
        <w:t>制造业投资发展迅速。</w:t>
      </w:r>
      <w:r>
        <w:rPr>
          <w:rFonts w:hint="default" w:ascii="Times New Roman" w:hAnsi="Times New Roman" w:eastAsia="仿宋_GB2312" w:cs="Times New Roman"/>
          <w:color w:val="auto"/>
          <w:sz w:val="32"/>
          <w:szCs w:val="32"/>
          <w:lang w:val="en-US" w:eastAsia="zh-CN"/>
        </w:rPr>
        <w:t>全年制造业投资同比增长21.9%，占工业投资的比重达93.4%，占全部投资的比重为33.2%。</w:t>
      </w:r>
      <w:r>
        <w:rPr>
          <w:rFonts w:hint="default" w:ascii="Times New Roman" w:hAnsi="Times New Roman" w:eastAsia="仿宋_GB2312" w:cs="Times New Roman"/>
          <w:color w:val="auto"/>
          <w:sz w:val="32"/>
          <w:szCs w:val="32"/>
        </w:rPr>
        <w:t>制造业投资分别拉动工业投资和全区投资增长</w:t>
      </w:r>
      <w:r>
        <w:rPr>
          <w:rFonts w:hint="default" w:ascii="Times New Roman" w:hAnsi="Times New Roman" w:eastAsia="仿宋_GB2312" w:cs="Times New Roman"/>
          <w:color w:val="auto"/>
          <w:sz w:val="32"/>
          <w:szCs w:val="32"/>
          <w:lang w:val="en-US" w:eastAsia="zh-CN"/>
        </w:rPr>
        <w:t>55.3</w:t>
      </w:r>
      <w:r>
        <w:rPr>
          <w:rFonts w:hint="default" w:ascii="Times New Roman" w:hAnsi="Times New Roman" w:eastAsia="仿宋_GB2312" w:cs="Times New Roman"/>
          <w:color w:val="auto"/>
          <w:sz w:val="32"/>
          <w:szCs w:val="32"/>
        </w:rPr>
        <w:t>和</w:t>
      </w:r>
      <w:r>
        <w:rPr>
          <w:rFonts w:hint="default" w:ascii="Times New Roman" w:hAnsi="Times New Roman" w:eastAsia="仿宋_GB2312" w:cs="Times New Roman"/>
          <w:color w:val="auto"/>
          <w:sz w:val="32"/>
          <w:szCs w:val="32"/>
          <w:lang w:val="en-US" w:eastAsia="zh-CN"/>
        </w:rPr>
        <w:t>15.1</w:t>
      </w:r>
      <w:r>
        <w:rPr>
          <w:rFonts w:hint="default" w:ascii="Times New Roman" w:hAnsi="Times New Roman" w:eastAsia="仿宋_GB2312" w:cs="Times New Roman"/>
          <w:color w:val="auto"/>
          <w:sz w:val="32"/>
          <w:szCs w:val="32"/>
        </w:rPr>
        <w:t>个百分点。</w:t>
      </w:r>
    </w:p>
    <w:p>
      <w:pPr>
        <w:pStyle w:val="4"/>
        <w:rPr>
          <w:rFonts w:hint="default" w:ascii="Times New Roman" w:hAnsi="Times New Roman" w:cs="Times New Roman"/>
        </w:rPr>
      </w:pPr>
    </w:p>
    <w:p>
      <w:pPr>
        <w:widowControl w:val="0"/>
        <w:spacing w:after="0" w:line="480" w:lineRule="auto"/>
        <w:ind w:firstLine="440" w:firstLineChars="200"/>
        <w:jc w:val="both"/>
        <w:rPr>
          <w:rFonts w:hint="default" w:ascii="Times New Roman" w:hAnsi="Times New Roman" w:cs="Times New Roman"/>
        </w:rPr>
      </w:pPr>
      <w:r>
        <w:rPr>
          <w:rFonts w:hint="default" w:ascii="Times New Roman" w:hAnsi="Times New Roman" w:cs="Times New Roman"/>
        </w:rPr>
        <w:drawing>
          <wp:inline distT="0" distB="0" distL="114300" distR="114300">
            <wp:extent cx="4663440" cy="2743200"/>
            <wp:effectExtent l="4445" t="4445" r="10795" b="1079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4"/>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高技术产业投资高速增长。</w:t>
      </w:r>
      <w:r>
        <w:rPr>
          <w:rFonts w:hint="default" w:ascii="Times New Roman" w:hAnsi="Times New Roman" w:eastAsia="仿宋_GB2312" w:cs="Times New Roman"/>
          <w:sz w:val="32"/>
          <w:szCs w:val="32"/>
          <w:lang w:val="en-US" w:eastAsia="zh-CN"/>
        </w:rPr>
        <w:t>全年高技术产业投资同比增长65.2%，占全部投资的比重为8.7%，占比较</w:t>
      </w:r>
      <w:r>
        <w:rPr>
          <w:rFonts w:hint="eastAsia" w:ascii="Times New Roman" w:hAnsi="Times New Roman" w:eastAsia="仿宋_GB2312" w:cs="Times New Roman"/>
          <w:sz w:val="32"/>
          <w:szCs w:val="32"/>
          <w:lang w:val="en-US" w:eastAsia="zh-CN"/>
        </w:rPr>
        <w:t>上</w:t>
      </w:r>
      <w:r>
        <w:rPr>
          <w:rFonts w:hint="default" w:ascii="Times New Roman" w:hAnsi="Times New Roman" w:eastAsia="仿宋_GB2312" w:cs="Times New Roman"/>
          <w:sz w:val="32"/>
          <w:szCs w:val="32"/>
          <w:lang w:val="en-US" w:eastAsia="zh-CN"/>
        </w:rPr>
        <w:t>年提高2.8个百分点。新开工高技术产业投资项目22个，较</w:t>
      </w:r>
      <w:r>
        <w:rPr>
          <w:rFonts w:hint="eastAsia" w:ascii="Times New Roman" w:hAnsi="Times New Roman" w:eastAsia="仿宋_GB2312" w:cs="Times New Roman"/>
          <w:sz w:val="32"/>
          <w:szCs w:val="32"/>
          <w:lang w:val="en-US" w:eastAsia="zh-CN"/>
        </w:rPr>
        <w:t>上</w:t>
      </w:r>
      <w:r>
        <w:rPr>
          <w:rFonts w:hint="default" w:ascii="Times New Roman" w:hAnsi="Times New Roman" w:eastAsia="仿宋_GB2312" w:cs="Times New Roman"/>
          <w:sz w:val="32"/>
          <w:szCs w:val="32"/>
          <w:lang w:val="en-US" w:eastAsia="zh-CN"/>
        </w:rPr>
        <w:t>年增加12个，实现成倍增长。</w:t>
      </w:r>
    </w:p>
    <w:p>
      <w:pPr>
        <w:pStyle w:val="4"/>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楷体_GB2312" w:cs="Times New Roman"/>
          <w:b w:val="0"/>
          <w:bCs/>
          <w:sz w:val="32"/>
          <w:szCs w:val="32"/>
          <w:lang w:val="en-US" w:eastAsia="zh-CN"/>
        </w:rPr>
        <w:t>房地产开发投资稳定增长。</w:t>
      </w:r>
      <w:r>
        <w:rPr>
          <w:rFonts w:hint="eastAsia" w:ascii="Times New Roman" w:hAnsi="Times New Roman" w:eastAsia="仿宋_GB2312" w:cs="Times New Roman"/>
          <w:b w:val="0"/>
          <w:bCs/>
          <w:sz w:val="32"/>
          <w:szCs w:val="32"/>
          <w:lang w:val="en-US" w:eastAsia="zh-CN"/>
        </w:rPr>
        <w:t>全年</w:t>
      </w:r>
      <w:r>
        <w:rPr>
          <w:rFonts w:hint="default" w:ascii="Times New Roman" w:hAnsi="Times New Roman" w:eastAsia="仿宋_GB2312" w:cs="Times New Roman"/>
          <w:b w:val="0"/>
          <w:bCs/>
          <w:sz w:val="32"/>
          <w:szCs w:val="32"/>
          <w:lang w:val="en-US" w:eastAsia="zh-CN"/>
        </w:rPr>
        <w:t>实现房地产开发投资84.4亿元，同比增长6.2%。其中：建筑工程投资52.7亿元，同比增长8.4%；安装工程投资5.1亿元，同比增长44.4%；设备工器具购置投资1.3亿元，同比增长28.2%；土地购置费25.3亿元，同比增长33.2%。</w:t>
      </w:r>
    </w:p>
    <w:p>
      <w:pPr>
        <w:pStyle w:val="12"/>
        <w:spacing w:after="0" w:line="560" w:lineRule="exact"/>
        <w:ind w:left="1360" w:firstLine="1920" w:firstLineChars="600"/>
        <w:jc w:val="both"/>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五、国内外贸易</w:t>
      </w:r>
    </w:p>
    <w:p>
      <w:pPr>
        <w:spacing w:after="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社会消费品市场稳步复苏。</w:t>
      </w:r>
      <w:r>
        <w:rPr>
          <w:rFonts w:hint="default" w:ascii="Times New Roman" w:hAnsi="Times New Roman" w:eastAsia="仿宋_GB2312" w:cs="Times New Roman"/>
          <w:color w:val="auto"/>
          <w:sz w:val="32"/>
          <w:szCs w:val="32"/>
        </w:rPr>
        <w:t>全区累计实现社会消费品零售总额</w:t>
      </w:r>
      <w:r>
        <w:rPr>
          <w:rFonts w:hint="default" w:ascii="Times New Roman" w:hAnsi="Times New Roman" w:eastAsia="仿宋_GB2312" w:cs="Times New Roman"/>
          <w:color w:val="auto"/>
          <w:sz w:val="32"/>
          <w:szCs w:val="32"/>
          <w:lang w:val="en-US" w:eastAsia="zh-CN"/>
        </w:rPr>
        <w:t>308.56</w:t>
      </w:r>
      <w:r>
        <w:rPr>
          <w:rFonts w:hint="default" w:ascii="Times New Roman" w:hAnsi="Times New Roman" w:eastAsia="仿宋_GB2312" w:cs="Times New Roman"/>
          <w:color w:val="auto"/>
          <w:sz w:val="32"/>
          <w:szCs w:val="32"/>
        </w:rPr>
        <w:t>亿元，同比</w:t>
      </w:r>
      <w:r>
        <w:rPr>
          <w:rFonts w:hint="default" w:ascii="Times New Roman" w:hAnsi="Times New Roman" w:eastAsia="仿宋_GB2312" w:cs="Times New Roman"/>
          <w:color w:val="auto"/>
          <w:sz w:val="32"/>
          <w:szCs w:val="32"/>
          <w:lang w:eastAsia="zh-CN"/>
        </w:rPr>
        <w:t>增长</w:t>
      </w:r>
      <w:r>
        <w:rPr>
          <w:rFonts w:hint="default" w:ascii="Times New Roman" w:hAnsi="Times New Roman" w:eastAsia="仿宋_GB2312" w:cs="Times New Roman"/>
          <w:color w:val="auto"/>
          <w:sz w:val="32"/>
          <w:szCs w:val="32"/>
          <w:lang w:val="en-US" w:eastAsia="zh-CN"/>
        </w:rPr>
        <w:t>16.6</w:t>
      </w:r>
      <w:r>
        <w:rPr>
          <w:rFonts w:hint="default" w:ascii="Times New Roman" w:hAnsi="Times New Roman" w:eastAsia="仿宋_GB2312" w:cs="Times New Roman"/>
          <w:color w:val="auto"/>
          <w:sz w:val="32"/>
          <w:szCs w:val="32"/>
        </w:rPr>
        <w:t>%，增速较上年同期</w:t>
      </w:r>
      <w:r>
        <w:rPr>
          <w:rFonts w:hint="default" w:ascii="Times New Roman" w:hAnsi="Times New Roman" w:eastAsia="仿宋_GB2312" w:cs="Times New Roman"/>
          <w:color w:val="auto"/>
          <w:sz w:val="32"/>
          <w:szCs w:val="32"/>
          <w:lang w:eastAsia="zh-CN"/>
        </w:rPr>
        <w:t>提高</w:t>
      </w:r>
      <w:r>
        <w:rPr>
          <w:rFonts w:hint="default" w:ascii="Times New Roman" w:hAnsi="Times New Roman" w:eastAsia="仿宋_GB2312" w:cs="Times New Roman"/>
          <w:color w:val="auto"/>
          <w:sz w:val="32"/>
          <w:szCs w:val="32"/>
          <w:lang w:val="en-US" w:eastAsia="zh-CN"/>
        </w:rPr>
        <w:t>20.9</w:t>
      </w:r>
      <w:r>
        <w:rPr>
          <w:rFonts w:hint="default" w:ascii="Times New Roman" w:hAnsi="Times New Roman" w:eastAsia="仿宋_GB2312" w:cs="Times New Roman"/>
          <w:color w:val="auto"/>
          <w:sz w:val="32"/>
          <w:szCs w:val="32"/>
        </w:rPr>
        <w:t>个百分点。其中，限上单位实现社会消费品零售总额</w:t>
      </w:r>
      <w:r>
        <w:rPr>
          <w:rFonts w:hint="default" w:ascii="Times New Roman" w:hAnsi="Times New Roman" w:eastAsia="仿宋_GB2312" w:cs="Times New Roman"/>
          <w:color w:val="auto"/>
          <w:sz w:val="32"/>
          <w:szCs w:val="32"/>
          <w:lang w:val="en-US" w:eastAsia="zh-CN"/>
        </w:rPr>
        <w:t>127.43</w:t>
      </w:r>
      <w:r>
        <w:rPr>
          <w:rFonts w:hint="default" w:ascii="Times New Roman" w:hAnsi="Times New Roman" w:eastAsia="仿宋_GB2312" w:cs="Times New Roman"/>
          <w:color w:val="auto"/>
          <w:sz w:val="32"/>
          <w:szCs w:val="32"/>
        </w:rPr>
        <w:t>亿元，同比</w:t>
      </w:r>
      <w:r>
        <w:rPr>
          <w:rFonts w:hint="default" w:ascii="Times New Roman" w:hAnsi="Times New Roman" w:eastAsia="仿宋_GB2312" w:cs="Times New Roman"/>
          <w:color w:val="auto"/>
          <w:sz w:val="32"/>
          <w:szCs w:val="32"/>
          <w:lang w:eastAsia="zh-CN"/>
        </w:rPr>
        <w:t>增长</w:t>
      </w:r>
      <w:r>
        <w:rPr>
          <w:rFonts w:hint="default" w:ascii="Times New Roman" w:hAnsi="Times New Roman" w:eastAsia="仿宋_GB2312" w:cs="Times New Roman"/>
          <w:color w:val="auto"/>
          <w:sz w:val="32"/>
          <w:szCs w:val="32"/>
          <w:lang w:val="en-US" w:eastAsia="zh-CN"/>
        </w:rPr>
        <w:t>13.2</w:t>
      </w:r>
      <w:r>
        <w:rPr>
          <w:rFonts w:hint="default" w:ascii="Times New Roman" w:hAnsi="Times New Roman" w:eastAsia="仿宋_GB2312" w:cs="Times New Roman"/>
          <w:color w:val="auto"/>
          <w:sz w:val="32"/>
          <w:szCs w:val="32"/>
        </w:rPr>
        <w:t>%。</w:t>
      </w:r>
    </w:p>
    <w:p>
      <w:pPr>
        <w:pStyle w:val="4"/>
        <w:jc w:val="center"/>
        <w:rPr>
          <w:rFonts w:hint="default" w:ascii="Times New Roman" w:hAnsi="Times New Roman" w:eastAsia="仿宋_GB2312" w:cs="Times New Roman"/>
          <w:color w:val="0000FF"/>
          <w:sz w:val="32"/>
          <w:szCs w:val="32"/>
        </w:rPr>
      </w:pPr>
      <w:r>
        <w:drawing>
          <wp:inline distT="0" distB="0" distL="114300" distR="114300">
            <wp:extent cx="4887595" cy="3061335"/>
            <wp:effectExtent l="4445" t="4445" r="15240" b="12700"/>
            <wp:docPr id="9"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限上贸易额同比增长18.8%。</w:t>
      </w: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分行业来看</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，批发业销售额同比增长23.1%；零售业销售额同比增长15.2%；住宿业营业额同比增长13.5%；餐饮业营业额同比增长7.8%。</w:t>
      </w:r>
      <w:r>
        <w:rPr>
          <w:rFonts w:hint="default" w:ascii="Times New Roman" w:hAnsi="Times New Roman" w:eastAsia="仿宋_GB2312" w:cs="Times New Roman"/>
          <w:b/>
          <w:bCs/>
          <w:color w:val="auto"/>
          <w:sz w:val="32"/>
          <w:szCs w:val="32"/>
        </w:rPr>
        <w:t>分商品类别看</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限上所涉26大类商品中，有20类商品销售额同比正增长，增长面达76.9%，其中，10类商品销售额同比增速高于全区限上贸易额平均水平，仅有家电和音像器材类、通讯器材类、机电产品及设备类等6类商品销售额负增长。</w:t>
      </w:r>
    </w:p>
    <w:p>
      <w:pPr>
        <w:pStyle w:val="4"/>
        <w:rPr>
          <w:rFonts w:hint="default" w:ascii="Times New Roman" w:hAnsi="Times New Roman" w:cs="Times New Roman"/>
        </w:rPr>
      </w:pPr>
    </w:p>
    <w:p>
      <w:pPr>
        <w:pStyle w:val="4"/>
        <w:rPr>
          <w:rFonts w:hint="default" w:ascii="Times New Roman" w:hAnsi="Times New Roman" w:cs="Times New Roman"/>
        </w:rPr>
      </w:pPr>
    </w:p>
    <w:tbl>
      <w:tblPr>
        <w:tblStyle w:val="9"/>
        <w:tblpPr w:leftFromText="180" w:rightFromText="180" w:vertAnchor="text" w:horzAnchor="page" w:tblpX="2672" w:tblpY="-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0"/>
        <w:gridCol w:w="3300"/>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15" w:type="dxa"/>
            <w:gridSpan w:val="3"/>
            <w:tcBorders>
              <w:top w:val="nil"/>
              <w:left w:val="nil"/>
              <w:bottom w:val="single" w:color="auto"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楷体_GB2312" w:cs="Times New Roman"/>
                <w:i w:val="0"/>
                <w:iCs w:val="0"/>
                <w:color w:val="auto"/>
                <w:kern w:val="0"/>
                <w:sz w:val="28"/>
                <w:szCs w:val="28"/>
                <w:u w:val="none"/>
                <w:lang w:val="en-US" w:eastAsia="zh-CN" w:bidi="ar"/>
              </w:rPr>
              <w:t>表2   2021年全区主要商品销售情况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kern w:val="0"/>
                <w:sz w:val="21"/>
                <w:szCs w:val="21"/>
                <w:u w:val="none"/>
                <w:lang w:val="en-US" w:eastAsia="zh-CN" w:bidi="ar"/>
              </w:rPr>
            </w:pPr>
            <w:r>
              <w:rPr>
                <w:rFonts w:hint="default" w:ascii="Times New Roman" w:hAnsi="Times New Roman" w:eastAsia="黑体" w:cs="Times New Roman"/>
                <w:i w:val="0"/>
                <w:iCs w:val="0"/>
                <w:color w:val="auto"/>
                <w:kern w:val="0"/>
                <w:sz w:val="21"/>
                <w:szCs w:val="21"/>
                <w:u w:val="none"/>
                <w:lang w:val="en-US" w:eastAsia="zh-CN" w:bidi="ar"/>
              </w:rPr>
              <w:t>序号</w:t>
            </w:r>
          </w:p>
        </w:tc>
        <w:tc>
          <w:tcPr>
            <w:tcW w:w="3300"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1"/>
                <w:szCs w:val="21"/>
                <w:u w:val="none"/>
              </w:rPr>
            </w:pPr>
            <w:r>
              <w:rPr>
                <w:rFonts w:hint="default" w:ascii="Times New Roman" w:hAnsi="Times New Roman" w:eastAsia="黑体" w:cs="Times New Roman"/>
                <w:i w:val="0"/>
                <w:iCs w:val="0"/>
                <w:color w:val="auto"/>
                <w:kern w:val="0"/>
                <w:sz w:val="21"/>
                <w:szCs w:val="21"/>
                <w:u w:val="none"/>
                <w:lang w:val="en-US" w:eastAsia="zh-CN" w:bidi="ar"/>
              </w:rPr>
              <w:t>商品类</w:t>
            </w:r>
          </w:p>
        </w:tc>
        <w:tc>
          <w:tcPr>
            <w:tcW w:w="1875" w:type="dxa"/>
            <w:tcBorders>
              <w:top w:val="single" w:color="auto"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1"/>
                <w:szCs w:val="21"/>
                <w:u w:val="none"/>
              </w:rPr>
            </w:pPr>
            <w:r>
              <w:rPr>
                <w:rFonts w:hint="default" w:ascii="Times New Roman" w:hAnsi="Times New Roman" w:eastAsia="黑体" w:cs="Times New Roman"/>
                <w:i w:val="0"/>
                <w:iCs w:val="0"/>
                <w:color w:val="auto"/>
                <w:kern w:val="0"/>
                <w:sz w:val="21"/>
                <w:szCs w:val="21"/>
                <w:u w:val="none"/>
                <w:lang w:val="en-US" w:eastAsia="zh-CN" w:bidi="ar"/>
              </w:rPr>
              <w:t>同比（%）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家具类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煤炭及制品类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3</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建筑及装潢材料类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4</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五金、电料类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5</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金属材料类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6</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化工材料及制品类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7</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棉麻类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8</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金银珠宝类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9</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石油及制品类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10</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粮油、食品类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11</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化妆品类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12</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烟酒类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13</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书报杂志类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14</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饮料类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15</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文化办公用品类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16</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体育、娱乐用品类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17</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服装、鞋帽、针纺织品类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18</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其他未列明的商品类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19</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汽车类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中西药品类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21</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家用电器和音像器材类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22</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日用品类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23</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通讯器材类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24</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电子出版物及音像制品类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25</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种子饲料类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4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26</w:t>
            </w:r>
          </w:p>
        </w:tc>
        <w:tc>
          <w:tcPr>
            <w:tcW w:w="3300"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 xml:space="preserve">      机电产品及设备类</w:t>
            </w:r>
          </w:p>
        </w:tc>
        <w:tc>
          <w:tcPr>
            <w:tcW w:w="1875"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i w:val="0"/>
                <w:iCs w:val="0"/>
                <w:color w:val="auto"/>
                <w:kern w:val="0"/>
                <w:sz w:val="21"/>
                <w:szCs w:val="21"/>
                <w:u w:val="none"/>
                <w:lang w:val="en-US" w:eastAsia="zh-CN" w:bidi="ar"/>
              </w:rPr>
              <w:t>-83.9</w:t>
            </w:r>
          </w:p>
        </w:tc>
      </w:tr>
    </w:tbl>
    <w:p>
      <w:pPr>
        <w:spacing w:after="0" w:line="480" w:lineRule="auto"/>
        <w:rPr>
          <w:rFonts w:hint="default" w:ascii="Times New Roman" w:hAnsi="Times New Roman" w:eastAsia="仿宋_GB2312" w:cs="Times New Roman"/>
          <w:color w:val="0000FF"/>
          <w:sz w:val="32"/>
          <w:szCs w:val="32"/>
        </w:rPr>
      </w:pPr>
    </w:p>
    <w:p>
      <w:pPr>
        <w:autoSpaceDN w:val="0"/>
        <w:spacing w:line="560" w:lineRule="exact"/>
        <w:ind w:firstLine="640" w:firstLineChars="200"/>
        <w:jc w:val="both"/>
        <w:rPr>
          <w:rFonts w:hint="default" w:ascii="Times New Roman" w:hAnsi="Times New Roman" w:eastAsia="楷体" w:cs="Times New Roman"/>
          <w:bCs/>
          <w:color w:val="0000FF"/>
          <w:sz w:val="32"/>
          <w:szCs w:val="32"/>
        </w:rPr>
      </w:pPr>
    </w:p>
    <w:p>
      <w:pPr>
        <w:autoSpaceDN w:val="0"/>
        <w:spacing w:line="560" w:lineRule="exact"/>
        <w:ind w:firstLine="640" w:firstLineChars="200"/>
        <w:jc w:val="both"/>
        <w:rPr>
          <w:rFonts w:hint="default" w:ascii="Times New Roman" w:hAnsi="Times New Roman" w:eastAsia="楷体" w:cs="Times New Roman"/>
          <w:bCs/>
          <w:color w:val="0000FF"/>
          <w:sz w:val="32"/>
          <w:szCs w:val="32"/>
        </w:rPr>
      </w:pPr>
    </w:p>
    <w:p>
      <w:pPr>
        <w:autoSpaceDN w:val="0"/>
        <w:spacing w:line="560" w:lineRule="exact"/>
        <w:ind w:firstLine="640" w:firstLineChars="200"/>
        <w:jc w:val="both"/>
        <w:rPr>
          <w:rFonts w:hint="default" w:ascii="Times New Roman" w:hAnsi="Times New Roman" w:eastAsia="楷体" w:cs="Times New Roman"/>
          <w:bCs/>
          <w:color w:val="0000FF"/>
          <w:sz w:val="32"/>
          <w:szCs w:val="32"/>
        </w:rPr>
      </w:pPr>
    </w:p>
    <w:p>
      <w:pPr>
        <w:autoSpaceDN w:val="0"/>
        <w:spacing w:line="560" w:lineRule="exact"/>
        <w:ind w:firstLine="640" w:firstLineChars="200"/>
        <w:jc w:val="both"/>
        <w:rPr>
          <w:rFonts w:hint="default" w:ascii="Times New Roman" w:hAnsi="Times New Roman" w:eastAsia="楷体" w:cs="Times New Roman"/>
          <w:bCs/>
          <w:color w:val="0000FF"/>
          <w:sz w:val="32"/>
          <w:szCs w:val="32"/>
        </w:rPr>
      </w:pPr>
    </w:p>
    <w:p>
      <w:pPr>
        <w:autoSpaceDN w:val="0"/>
        <w:spacing w:line="560" w:lineRule="exact"/>
        <w:ind w:firstLine="640" w:firstLineChars="200"/>
        <w:jc w:val="both"/>
        <w:rPr>
          <w:rFonts w:hint="default" w:ascii="Times New Roman" w:hAnsi="Times New Roman" w:eastAsia="楷体" w:cs="Times New Roman"/>
          <w:bCs/>
          <w:color w:val="0000FF"/>
          <w:sz w:val="32"/>
          <w:szCs w:val="32"/>
        </w:rPr>
      </w:pPr>
    </w:p>
    <w:p>
      <w:pPr>
        <w:autoSpaceDN w:val="0"/>
        <w:spacing w:line="560" w:lineRule="exact"/>
        <w:ind w:firstLine="640" w:firstLineChars="200"/>
        <w:jc w:val="both"/>
        <w:rPr>
          <w:rFonts w:hint="default" w:ascii="Times New Roman" w:hAnsi="Times New Roman" w:eastAsia="楷体" w:cs="Times New Roman"/>
          <w:bCs/>
          <w:color w:val="0000FF"/>
          <w:sz w:val="32"/>
          <w:szCs w:val="32"/>
        </w:rPr>
      </w:pPr>
    </w:p>
    <w:p>
      <w:pPr>
        <w:autoSpaceDN w:val="0"/>
        <w:spacing w:line="560" w:lineRule="exact"/>
        <w:ind w:firstLine="640" w:firstLineChars="200"/>
        <w:jc w:val="both"/>
        <w:rPr>
          <w:rFonts w:hint="default" w:ascii="Times New Roman" w:hAnsi="Times New Roman" w:eastAsia="楷体" w:cs="Times New Roman"/>
          <w:bCs/>
          <w:color w:val="0000FF"/>
          <w:sz w:val="32"/>
          <w:szCs w:val="32"/>
        </w:rPr>
      </w:pPr>
    </w:p>
    <w:p>
      <w:pPr>
        <w:autoSpaceDN w:val="0"/>
        <w:spacing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 w:cs="Times New Roman"/>
          <w:bCs/>
          <w:color w:val="auto"/>
          <w:sz w:val="32"/>
          <w:szCs w:val="32"/>
        </w:rPr>
        <w:t>对外贸易</w:t>
      </w:r>
      <w:r>
        <w:rPr>
          <w:rFonts w:hint="eastAsia" w:ascii="Times New Roman" w:hAnsi="Times New Roman" w:eastAsia="楷体" w:cs="Times New Roman"/>
          <w:bCs/>
          <w:color w:val="auto"/>
          <w:sz w:val="32"/>
          <w:szCs w:val="32"/>
          <w:lang w:eastAsia="zh-CN"/>
        </w:rPr>
        <w:t>高速</w:t>
      </w:r>
      <w:r>
        <w:rPr>
          <w:rFonts w:hint="default" w:ascii="Times New Roman" w:hAnsi="Times New Roman" w:eastAsia="楷体" w:cs="Times New Roman"/>
          <w:bCs/>
          <w:color w:val="auto"/>
          <w:sz w:val="32"/>
          <w:szCs w:val="32"/>
        </w:rPr>
        <w:t>增长</w:t>
      </w:r>
      <w:r>
        <w:rPr>
          <w:rFonts w:hint="eastAsia" w:ascii="Times New Roman" w:hAnsi="Times New Roman" w:eastAsia="楷体" w:cs="Times New Roman"/>
          <w:bCs/>
          <w:color w:val="auto"/>
          <w:sz w:val="32"/>
          <w:szCs w:val="32"/>
          <w:lang w:eastAsia="zh-CN"/>
        </w:rPr>
        <w:t>。</w:t>
      </w:r>
      <w:r>
        <w:rPr>
          <w:rFonts w:hint="eastAsia" w:ascii="Times New Roman" w:hAnsi="Times New Roman" w:eastAsia="仿宋_GB2312" w:cs="Times New Roman"/>
          <w:color w:val="auto"/>
          <w:sz w:val="32"/>
          <w:szCs w:val="32"/>
          <w:lang w:eastAsia="zh-CN"/>
        </w:rPr>
        <w:t>全年</w:t>
      </w:r>
      <w:r>
        <w:rPr>
          <w:rFonts w:hint="default" w:ascii="Times New Roman" w:hAnsi="Times New Roman" w:eastAsia="仿宋_GB2312" w:cs="Times New Roman"/>
          <w:color w:val="auto"/>
          <w:sz w:val="32"/>
          <w:szCs w:val="32"/>
        </w:rPr>
        <w:t>完成货物贸易进出口总额8.12亿美元，同比增长51.8%，其中出口7.52亿美元，同比增长50.4%；进口0.6亿美元，同比增长71.4%。实际使用外资1.01亿美元。</w:t>
      </w:r>
    </w:p>
    <w:p>
      <w:pPr>
        <w:autoSpaceDN w:val="0"/>
        <w:spacing w:after="0" w:line="560" w:lineRule="exact"/>
        <w:ind w:firstLine="640" w:firstLineChars="20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六、财政和金融</w:t>
      </w:r>
    </w:p>
    <w:p>
      <w:pPr>
        <w:spacing w:after="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财政收入</w:t>
      </w:r>
      <w:r>
        <w:rPr>
          <w:rFonts w:hint="default" w:ascii="Times New Roman" w:hAnsi="Times New Roman" w:eastAsia="楷体" w:cs="Times New Roman"/>
          <w:color w:val="auto"/>
          <w:sz w:val="32"/>
          <w:szCs w:val="32"/>
          <w:lang w:eastAsia="zh-CN"/>
        </w:rPr>
        <w:t>快速</w:t>
      </w:r>
      <w:r>
        <w:rPr>
          <w:rFonts w:hint="default" w:ascii="Times New Roman" w:hAnsi="Times New Roman" w:eastAsia="楷体" w:cs="Times New Roman"/>
          <w:color w:val="auto"/>
          <w:sz w:val="32"/>
          <w:szCs w:val="32"/>
        </w:rPr>
        <w:t>增长。</w:t>
      </w:r>
      <w:r>
        <w:rPr>
          <w:rFonts w:hint="eastAsia" w:ascii="Times New Roman" w:hAnsi="Times New Roman" w:eastAsia="仿宋_GB2312" w:cs="Times New Roman"/>
          <w:color w:val="auto"/>
          <w:sz w:val="32"/>
          <w:szCs w:val="32"/>
          <w:lang w:eastAsia="zh-CN"/>
        </w:rPr>
        <w:t>全年</w:t>
      </w:r>
      <w:r>
        <w:rPr>
          <w:rFonts w:hint="default" w:ascii="Times New Roman" w:hAnsi="Times New Roman" w:eastAsia="仿宋_GB2312" w:cs="Times New Roman"/>
          <w:color w:val="auto"/>
          <w:sz w:val="32"/>
          <w:szCs w:val="32"/>
          <w:lang w:eastAsia="zh-CN"/>
        </w:rPr>
        <w:t>完成</w:t>
      </w:r>
      <w:r>
        <w:rPr>
          <w:rFonts w:hint="default" w:ascii="Times New Roman" w:hAnsi="Times New Roman" w:eastAsia="仿宋_GB2312" w:cs="Times New Roman"/>
          <w:color w:val="auto"/>
          <w:sz w:val="32"/>
          <w:szCs w:val="32"/>
        </w:rPr>
        <w:t>一般公共预算收入30亿元，同比增长44.6%，增速比</w:t>
      </w:r>
      <w:r>
        <w:rPr>
          <w:rFonts w:hint="default" w:ascii="Times New Roman" w:hAnsi="Times New Roman" w:eastAsia="仿宋_GB2312" w:cs="Times New Roman"/>
          <w:color w:val="auto"/>
          <w:sz w:val="32"/>
          <w:szCs w:val="32"/>
          <w:lang w:eastAsia="zh-CN"/>
        </w:rPr>
        <w:t>去年同期</w:t>
      </w:r>
      <w:r>
        <w:rPr>
          <w:rFonts w:hint="default" w:ascii="Times New Roman" w:hAnsi="Times New Roman" w:eastAsia="仿宋_GB2312" w:cs="Times New Roman"/>
          <w:color w:val="auto"/>
          <w:sz w:val="32"/>
          <w:szCs w:val="32"/>
        </w:rPr>
        <w:t>提高</w:t>
      </w:r>
      <w:r>
        <w:rPr>
          <w:rFonts w:hint="default" w:ascii="Times New Roman" w:hAnsi="Times New Roman" w:eastAsia="仿宋_GB2312" w:cs="Times New Roman"/>
          <w:color w:val="auto"/>
          <w:sz w:val="32"/>
          <w:szCs w:val="32"/>
          <w:lang w:val="en-US" w:eastAsia="zh-CN"/>
        </w:rPr>
        <w:t>40.9</w:t>
      </w:r>
      <w:r>
        <w:rPr>
          <w:rFonts w:hint="default" w:ascii="Times New Roman" w:hAnsi="Times New Roman" w:eastAsia="仿宋_GB2312" w:cs="Times New Roman"/>
          <w:color w:val="auto"/>
          <w:sz w:val="32"/>
          <w:szCs w:val="32"/>
        </w:rPr>
        <w:t>个百分点。其中，税收收入28.68亿元，税收占</w:t>
      </w:r>
      <w:r>
        <w:rPr>
          <w:rFonts w:hint="eastAsia" w:ascii="Times New Roman" w:hAnsi="Times New Roman" w:eastAsia="仿宋_GB2312" w:cs="Times New Roman"/>
          <w:color w:val="auto"/>
          <w:sz w:val="32"/>
          <w:szCs w:val="32"/>
          <w:lang w:eastAsia="zh-CN"/>
        </w:rPr>
        <w:t>一般公共预算收入比重为</w:t>
      </w:r>
      <w:r>
        <w:rPr>
          <w:rFonts w:hint="default" w:ascii="Times New Roman" w:hAnsi="Times New Roman" w:eastAsia="仿宋_GB2312" w:cs="Times New Roman"/>
          <w:color w:val="auto"/>
          <w:sz w:val="32"/>
          <w:szCs w:val="32"/>
        </w:rPr>
        <w:t>95.6%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比上年提高6.6个百分点。分地区来看， </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个镇完成一般公共预算收入</w:t>
      </w:r>
      <w:r>
        <w:rPr>
          <w:rFonts w:hint="default" w:ascii="Times New Roman" w:hAnsi="Times New Roman" w:eastAsia="仿宋_GB2312" w:cs="Times New Roman"/>
          <w:color w:val="auto"/>
          <w:sz w:val="32"/>
          <w:szCs w:val="32"/>
          <w:lang w:val="en-US" w:eastAsia="zh-CN"/>
        </w:rPr>
        <w:t>1.55</w:t>
      </w:r>
      <w:r>
        <w:rPr>
          <w:rFonts w:hint="default" w:ascii="Times New Roman" w:hAnsi="Times New Roman" w:eastAsia="仿宋_GB2312" w:cs="Times New Roman"/>
          <w:color w:val="auto"/>
          <w:sz w:val="32"/>
          <w:szCs w:val="32"/>
        </w:rPr>
        <w:t>亿元，</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个街道完成一般公共预算收入4.</w:t>
      </w:r>
      <w:r>
        <w:rPr>
          <w:rFonts w:hint="default" w:ascii="Times New Roman" w:hAnsi="Times New Roman" w:eastAsia="仿宋_GB2312" w:cs="Times New Roman"/>
          <w:color w:val="auto"/>
          <w:sz w:val="32"/>
          <w:szCs w:val="32"/>
          <w:lang w:val="en-US" w:eastAsia="zh-CN"/>
        </w:rPr>
        <w:t>19</w:t>
      </w:r>
      <w:r>
        <w:rPr>
          <w:rFonts w:hint="default" w:ascii="Times New Roman" w:hAnsi="Times New Roman" w:eastAsia="仿宋_GB2312" w:cs="Times New Roman"/>
          <w:color w:val="auto"/>
          <w:sz w:val="32"/>
          <w:szCs w:val="32"/>
        </w:rPr>
        <w:t>亿元，宿城经济开发区、运河宿迁港产业园完成一般公共预算收入</w:t>
      </w:r>
      <w:r>
        <w:rPr>
          <w:rFonts w:hint="default" w:ascii="Times New Roman" w:hAnsi="Times New Roman" w:eastAsia="仿宋_GB2312" w:cs="Times New Roman"/>
          <w:color w:val="auto"/>
          <w:sz w:val="32"/>
          <w:szCs w:val="32"/>
          <w:lang w:val="en-US" w:eastAsia="zh-CN"/>
        </w:rPr>
        <w:t>12.55</w:t>
      </w:r>
      <w:r>
        <w:rPr>
          <w:rFonts w:hint="default" w:ascii="Times New Roman" w:hAnsi="Times New Roman" w:eastAsia="仿宋_GB2312" w:cs="Times New Roman"/>
          <w:color w:val="auto"/>
          <w:sz w:val="32"/>
          <w:szCs w:val="32"/>
        </w:rPr>
        <w:t>亿元。</w:t>
      </w:r>
    </w:p>
    <w:p>
      <w:pPr>
        <w:spacing w:after="0" w:line="560" w:lineRule="exact"/>
        <w:ind w:firstLine="440" w:firstLineChars="200"/>
        <w:jc w:val="both"/>
        <w:rPr>
          <w:rFonts w:hint="default" w:ascii="Times New Roman" w:hAnsi="Times New Roman" w:cs="Times New Roman"/>
          <w:color w:val="auto"/>
        </w:rPr>
      </w:pPr>
    </w:p>
    <w:p>
      <w:pPr>
        <w:spacing w:after="0" w:line="480" w:lineRule="auto"/>
        <w:jc w:val="both"/>
        <w:rPr>
          <w:rFonts w:hint="default" w:ascii="Times New Roman" w:hAnsi="Times New Roman" w:eastAsia="仿宋_GB2312" w:cs="Times New Roman"/>
          <w:color w:val="0000FF"/>
          <w:sz w:val="32"/>
          <w:szCs w:val="32"/>
        </w:rPr>
      </w:pPr>
      <w:r>
        <w:rPr>
          <w:rFonts w:hint="default" w:ascii="Times New Roman" w:hAnsi="Times New Roman" w:cs="Times New Roman"/>
        </w:rPr>
        <w:drawing>
          <wp:inline distT="0" distB="0" distL="114300" distR="114300">
            <wp:extent cx="5094605" cy="2718435"/>
            <wp:effectExtent l="4445" t="4445" r="6350"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after="0" w:line="560" w:lineRule="exact"/>
        <w:ind w:firstLine="480" w:firstLineChars="15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楷体" w:cs="Times New Roman"/>
          <w:color w:val="auto"/>
          <w:sz w:val="32"/>
          <w:szCs w:val="32"/>
        </w:rPr>
        <w:t>支出结构持续改善</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全年</w:t>
      </w:r>
      <w:r>
        <w:rPr>
          <w:rFonts w:hint="default" w:ascii="Times New Roman" w:hAnsi="Times New Roman" w:eastAsia="仿宋_GB2312" w:cs="Times New Roman"/>
          <w:color w:val="auto"/>
          <w:sz w:val="32"/>
          <w:szCs w:val="32"/>
        </w:rPr>
        <w:t>一般公共预算支出</w:t>
      </w:r>
      <w:r>
        <w:rPr>
          <w:rFonts w:hint="default" w:ascii="Times New Roman" w:hAnsi="Times New Roman" w:eastAsia="仿宋_GB2312" w:cs="Times New Roman"/>
          <w:color w:val="auto"/>
          <w:sz w:val="32"/>
          <w:szCs w:val="32"/>
          <w:lang w:val="en-US" w:eastAsia="zh-CN"/>
        </w:rPr>
        <w:t>53.81</w:t>
      </w:r>
      <w:r>
        <w:rPr>
          <w:rFonts w:hint="default" w:ascii="Times New Roman" w:hAnsi="Times New Roman" w:eastAsia="仿宋_GB2312" w:cs="Times New Roman"/>
          <w:color w:val="auto"/>
          <w:sz w:val="32"/>
          <w:szCs w:val="32"/>
        </w:rPr>
        <w:t>亿元，</w:t>
      </w:r>
      <w:r>
        <w:rPr>
          <w:rFonts w:hint="eastAsia" w:ascii="Times New Roman" w:hAnsi="Times New Roman" w:eastAsia="仿宋_GB2312" w:cs="Times New Roman"/>
          <w:color w:val="auto"/>
          <w:sz w:val="32"/>
          <w:szCs w:val="32"/>
          <w:lang w:eastAsia="zh-CN"/>
        </w:rPr>
        <w:t>同比</w:t>
      </w:r>
      <w:r>
        <w:rPr>
          <w:rFonts w:hint="default" w:ascii="Times New Roman" w:hAnsi="Times New Roman" w:eastAsia="仿宋_GB2312" w:cs="Times New Roman"/>
          <w:color w:val="auto"/>
          <w:sz w:val="32"/>
          <w:szCs w:val="32"/>
          <w:lang w:eastAsia="zh-CN"/>
        </w:rPr>
        <w:t>下降</w:t>
      </w:r>
      <w:r>
        <w:rPr>
          <w:rFonts w:hint="default" w:ascii="Times New Roman" w:hAnsi="Times New Roman"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其</w:t>
      </w:r>
      <w:r>
        <w:rPr>
          <w:rFonts w:hint="default" w:ascii="Times New Roman" w:hAnsi="Times New Roman" w:eastAsia="仿宋_GB2312" w:cs="Times New Roman"/>
          <w:color w:val="auto"/>
          <w:sz w:val="32"/>
          <w:szCs w:val="32"/>
        </w:rPr>
        <w:t>中，一般公共服务支出</w:t>
      </w:r>
      <w:r>
        <w:rPr>
          <w:rFonts w:hint="default" w:ascii="Times New Roman" w:hAnsi="Times New Roman" w:eastAsia="仿宋_GB2312" w:cs="Times New Roman"/>
          <w:color w:val="auto"/>
          <w:sz w:val="32"/>
          <w:szCs w:val="32"/>
          <w:lang w:val="en-US" w:eastAsia="zh-CN"/>
        </w:rPr>
        <w:t>5.81</w:t>
      </w:r>
      <w:r>
        <w:rPr>
          <w:rFonts w:hint="default" w:ascii="Times New Roman" w:hAnsi="Times New Roman" w:eastAsia="仿宋_GB2312" w:cs="Times New Roman"/>
          <w:color w:val="auto"/>
          <w:sz w:val="32"/>
          <w:szCs w:val="32"/>
        </w:rPr>
        <w:t>亿元，增长</w:t>
      </w:r>
      <w:r>
        <w:rPr>
          <w:rFonts w:hint="default" w:ascii="Times New Roman" w:hAnsi="Times New Roman" w:eastAsia="仿宋_GB2312" w:cs="Times New Roman"/>
          <w:color w:val="auto"/>
          <w:sz w:val="32"/>
          <w:szCs w:val="32"/>
          <w:lang w:val="en-US" w:eastAsia="zh-CN"/>
        </w:rPr>
        <w:t>15.7</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教育支出11.37亿元，</w:t>
      </w:r>
      <w:r>
        <w:rPr>
          <w:rFonts w:hint="default"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上年</w:t>
      </w:r>
      <w:r>
        <w:rPr>
          <w:rFonts w:hint="default" w:ascii="Times New Roman" w:hAnsi="Times New Roman" w:eastAsia="仿宋_GB2312" w:cs="Times New Roman"/>
          <w:color w:val="auto"/>
          <w:sz w:val="32"/>
          <w:szCs w:val="32"/>
          <w:lang w:eastAsia="zh-CN"/>
        </w:rPr>
        <w:t>基本持平</w:t>
      </w:r>
      <w:r>
        <w:rPr>
          <w:rFonts w:hint="default" w:ascii="Times New Roman" w:hAnsi="Times New Roman" w:eastAsia="仿宋_GB2312" w:cs="Times New Roman"/>
          <w:color w:val="auto"/>
          <w:sz w:val="32"/>
          <w:szCs w:val="32"/>
        </w:rPr>
        <w:t>；卫生健康支出</w:t>
      </w:r>
      <w:r>
        <w:rPr>
          <w:rFonts w:hint="default" w:ascii="Times New Roman" w:hAnsi="Times New Roman" w:eastAsia="仿宋_GB2312" w:cs="Times New Roman"/>
          <w:color w:val="auto"/>
          <w:sz w:val="32"/>
          <w:szCs w:val="32"/>
          <w:lang w:val="en-US" w:eastAsia="zh-CN"/>
        </w:rPr>
        <w:t>4.01</w:t>
      </w:r>
      <w:r>
        <w:rPr>
          <w:rFonts w:hint="default" w:ascii="Times New Roman" w:hAnsi="Times New Roman" w:eastAsia="仿宋_GB2312" w:cs="Times New Roman"/>
          <w:color w:val="auto"/>
          <w:sz w:val="32"/>
          <w:szCs w:val="32"/>
        </w:rPr>
        <w:t>亿元，增长</w:t>
      </w:r>
      <w:r>
        <w:rPr>
          <w:rFonts w:hint="default" w:ascii="Times New Roman" w:hAnsi="Times New Roman" w:eastAsia="仿宋_GB2312" w:cs="Times New Roman"/>
          <w:color w:val="auto"/>
          <w:sz w:val="32"/>
          <w:szCs w:val="32"/>
          <w:lang w:val="en-US" w:eastAsia="zh-CN"/>
        </w:rPr>
        <w:t>6.8</w:t>
      </w:r>
      <w:r>
        <w:rPr>
          <w:rFonts w:hint="default" w:ascii="Times New Roman" w:hAnsi="Times New Roman" w:eastAsia="仿宋_GB2312" w:cs="Times New Roman"/>
          <w:color w:val="auto"/>
          <w:sz w:val="32"/>
          <w:szCs w:val="32"/>
        </w:rPr>
        <w:t>%；住房保障支出</w:t>
      </w:r>
      <w:r>
        <w:rPr>
          <w:rFonts w:hint="default" w:ascii="Times New Roman" w:hAnsi="Times New Roman" w:eastAsia="仿宋_GB2312" w:cs="Times New Roman"/>
          <w:color w:val="auto"/>
          <w:sz w:val="32"/>
          <w:szCs w:val="32"/>
          <w:lang w:val="en-US" w:eastAsia="zh-CN"/>
        </w:rPr>
        <w:t>5.18</w:t>
      </w:r>
      <w:r>
        <w:rPr>
          <w:rFonts w:hint="default" w:ascii="Times New Roman" w:hAnsi="Times New Roman" w:eastAsia="仿宋_GB2312" w:cs="Times New Roman"/>
          <w:color w:val="auto"/>
          <w:sz w:val="32"/>
          <w:szCs w:val="32"/>
        </w:rPr>
        <w:t>亿元，增长</w:t>
      </w:r>
      <w:r>
        <w:rPr>
          <w:rFonts w:hint="default" w:ascii="Times New Roman" w:hAnsi="Times New Roman" w:eastAsia="仿宋_GB2312" w:cs="Times New Roman"/>
          <w:color w:val="auto"/>
          <w:sz w:val="32"/>
          <w:szCs w:val="32"/>
          <w:lang w:val="en-US" w:eastAsia="zh-CN"/>
        </w:rPr>
        <w:t>42.7</w:t>
      </w:r>
      <w:r>
        <w:rPr>
          <w:rFonts w:hint="default" w:ascii="Times New Roman" w:hAnsi="Times New Roman" w:eastAsia="仿宋_GB2312" w:cs="Times New Roman"/>
          <w:color w:val="auto"/>
          <w:sz w:val="32"/>
          <w:szCs w:val="32"/>
        </w:rPr>
        <w:t>%。</w:t>
      </w:r>
    </w:p>
    <w:p>
      <w:pPr>
        <w:spacing w:after="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金融信贷规模持续扩大。</w:t>
      </w:r>
      <w:r>
        <w:rPr>
          <w:rFonts w:hint="default" w:ascii="Times New Roman" w:hAnsi="Times New Roman" w:eastAsia="仿宋_GB2312" w:cs="Times New Roman"/>
          <w:color w:val="auto"/>
          <w:sz w:val="32"/>
          <w:szCs w:val="32"/>
        </w:rPr>
        <w:t>推动省再担保集团与我区签订全面战略合作协议， 成功举办市级金融机构走进宿城融资对接活动，联合银行、证券、担保等20余家金融机构赴开发区、激光产业园、乡镇开展19场走访调研帮办。截至</w:t>
      </w:r>
      <w:r>
        <w:rPr>
          <w:rFonts w:hint="eastAsia"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rPr>
        <w:t>末，辖区</w:t>
      </w:r>
      <w:r>
        <w:rPr>
          <w:rFonts w:hint="eastAsia" w:ascii="Times New Roman" w:hAnsi="Times New Roman" w:eastAsia="仿宋_GB2312" w:cs="Times New Roman"/>
          <w:color w:val="auto"/>
          <w:sz w:val="32"/>
          <w:szCs w:val="32"/>
          <w:lang w:eastAsia="zh-CN"/>
        </w:rPr>
        <w:t>内</w:t>
      </w:r>
      <w:r>
        <w:rPr>
          <w:rFonts w:hint="eastAsia" w:ascii="Times New Roman" w:hAnsi="Times New Roman" w:eastAsia="仿宋_GB2312" w:cs="Times New Roman"/>
          <w:color w:val="auto"/>
          <w:sz w:val="32"/>
          <w:szCs w:val="32"/>
          <w:lang w:val="en-US" w:eastAsia="zh-CN"/>
        </w:rPr>
        <w:t>17家</w:t>
      </w:r>
      <w:r>
        <w:rPr>
          <w:rFonts w:hint="default" w:ascii="Times New Roman" w:hAnsi="Times New Roman" w:eastAsia="仿宋_GB2312" w:cs="Times New Roman"/>
          <w:color w:val="auto"/>
          <w:sz w:val="32"/>
          <w:szCs w:val="32"/>
        </w:rPr>
        <w:t>银行对区各项贷款余额1094.64亿元，同比增长15.4%，其中制造业贷款余额266.28亿元，同比增长18.2%。</w:t>
      </w:r>
    </w:p>
    <w:p>
      <w:pPr>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七、社会事业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color w:val="auto"/>
          <w:sz w:val="32"/>
          <w:szCs w:val="32"/>
        </w:rPr>
        <w:t>科技创新取得新进展。</w:t>
      </w:r>
      <w:r>
        <w:rPr>
          <w:rFonts w:hint="default" w:ascii="Times New Roman" w:hAnsi="Times New Roman" w:eastAsia="仿宋_GB2312" w:cs="Times New Roman"/>
          <w:color w:val="auto"/>
          <w:sz w:val="32"/>
          <w:szCs w:val="32"/>
          <w:lang w:val="en-US" w:eastAsia="zh-CN" w:bidi="ar-SA"/>
        </w:rPr>
        <w:t>全区专利授权2987件,年末有效发明专利383件,比上年增加68件，</w:t>
      </w:r>
      <w:r>
        <w:rPr>
          <w:rFonts w:hint="default" w:ascii="Times New Roman" w:hAnsi="Times New Roman" w:eastAsia="仿宋_GB2312" w:cs="Times New Roman"/>
          <w:color w:val="auto"/>
          <w:sz w:val="32"/>
          <w:szCs w:val="32"/>
        </w:rPr>
        <w:t>万人发明专利拥有量</w:t>
      </w:r>
      <w:r>
        <w:rPr>
          <w:rFonts w:hint="default" w:ascii="Times New Roman" w:hAnsi="Times New Roman" w:eastAsia="仿宋_GB2312" w:cs="Times New Roman"/>
          <w:color w:val="auto"/>
          <w:sz w:val="32"/>
          <w:szCs w:val="32"/>
          <w:lang w:val="en-US" w:eastAsia="zh-CN"/>
        </w:rPr>
        <w:t>5.7</w:t>
      </w:r>
      <w:r>
        <w:rPr>
          <w:rFonts w:hint="default" w:ascii="Times New Roman" w:hAnsi="Times New Roman" w:eastAsia="仿宋_GB2312" w:cs="Times New Roman"/>
          <w:color w:val="auto"/>
          <w:sz w:val="32"/>
          <w:szCs w:val="32"/>
        </w:rPr>
        <w:t>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组织申报国家科技型中小企业270家，入库263家；组织32家企业申报市高企培育库，入选31家，申报成功率达96%；组织65家企业申报国家高新技术企业，通过评审32家</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围绕产业链帮助激光产业、纺织服装、绿色建材等产业征集企业技术人才、技术需求55个，引进各类人才45名，其中34人获批省双创计划“科技副总”项目；开展了苏北五市等产学研活动8场，走访企业30多家，申报产学研项目41项，为企业科技创新注入了新的活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创新平台建设成效显著。</w:t>
      </w:r>
      <w:r>
        <w:rPr>
          <w:rFonts w:hint="default" w:ascii="Times New Roman" w:hAnsi="Times New Roman" w:eastAsia="仿宋_GB2312" w:cs="Times New Roman"/>
          <w:color w:val="auto"/>
          <w:sz w:val="32"/>
          <w:szCs w:val="32"/>
          <w:lang w:val="en-US" w:eastAsia="zh-CN" w:bidi="ar-SA"/>
        </w:rPr>
        <w:t>加强企业研发平台、科技孵化器、工程技术中心等载体平台建设。将激光产业国家级孵化器创建工作列入区重点改革事项，多次开展会商会办、专题调研、赴省对接争取，已获省科技厅推荐；西城光电科技企业孵化器获批省级孵化器；江苏先进光源技术研究院、江苏绿港现代农业技术研究院落户宿城；吉龙、华工、亿茂获批建设省工程技术研究中心，实现高端合作载体的关键性突破。江苏绿港获批省级研究生工作站，陈集葡萄星创天地获批省级“星创天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楷体_GB2312" w:cs="Times New Roman"/>
          <w:color w:val="auto"/>
          <w:sz w:val="32"/>
          <w:szCs w:val="32"/>
          <w:lang w:val="en-US" w:eastAsia="zh-CN" w:bidi="ar-SA"/>
        </w:rPr>
        <w:t>文化事业繁荣发展。</w:t>
      </w:r>
      <w:r>
        <w:rPr>
          <w:rFonts w:hint="default" w:ascii="Times New Roman" w:hAnsi="Times New Roman" w:eastAsia="仿宋_GB2312" w:cs="Times New Roman"/>
          <w:color w:val="auto"/>
          <w:sz w:val="32"/>
          <w:szCs w:val="32"/>
          <w:lang w:val="zh-CN" w:eastAsia="zh-CN" w:bidi="ar-SA"/>
        </w:rPr>
        <w:t>年末全区拥有公共图书馆1个，文化馆1个，电影放映单位</w:t>
      </w:r>
      <w:r>
        <w:rPr>
          <w:rFonts w:hint="default" w:ascii="Times New Roman" w:hAnsi="Times New Roman" w:eastAsia="仿宋_GB2312" w:cs="Times New Roman"/>
          <w:color w:val="auto"/>
          <w:sz w:val="32"/>
          <w:szCs w:val="32"/>
          <w:lang w:val="en-US" w:eastAsia="zh-CN" w:bidi="ar-SA"/>
        </w:rPr>
        <w:t>10</w:t>
      </w:r>
      <w:r>
        <w:rPr>
          <w:rFonts w:hint="default" w:ascii="Times New Roman" w:hAnsi="Times New Roman" w:eastAsia="仿宋_GB2312" w:cs="Times New Roman"/>
          <w:color w:val="auto"/>
          <w:sz w:val="32"/>
          <w:szCs w:val="32"/>
          <w:lang w:val="zh-CN" w:eastAsia="zh-CN" w:bidi="ar-SA"/>
        </w:rPr>
        <w:t>个，公共歌舞厅</w:t>
      </w:r>
      <w:r>
        <w:rPr>
          <w:rFonts w:hint="default" w:ascii="Times New Roman" w:hAnsi="Times New Roman" w:eastAsia="仿宋_GB2312" w:cs="Times New Roman"/>
          <w:color w:val="auto"/>
          <w:sz w:val="32"/>
          <w:szCs w:val="32"/>
          <w:lang w:val="en-US" w:eastAsia="zh-CN" w:bidi="ar-SA"/>
        </w:rPr>
        <w:t>33</w:t>
      </w:r>
      <w:r>
        <w:rPr>
          <w:rFonts w:hint="default" w:ascii="Times New Roman" w:hAnsi="Times New Roman" w:eastAsia="仿宋_GB2312" w:cs="Times New Roman"/>
          <w:color w:val="auto"/>
          <w:sz w:val="32"/>
          <w:szCs w:val="32"/>
          <w:lang w:val="zh-CN" w:eastAsia="zh-CN" w:bidi="ar-SA"/>
        </w:rPr>
        <w:t>个，广播电视站10个，获市以上评比获奖文艺作品</w:t>
      </w:r>
      <w:r>
        <w:rPr>
          <w:rFonts w:hint="default" w:ascii="Times New Roman" w:hAnsi="Times New Roman" w:eastAsia="仿宋_GB2312" w:cs="Times New Roman"/>
          <w:color w:val="auto"/>
          <w:sz w:val="32"/>
          <w:szCs w:val="32"/>
          <w:lang w:val="en-US" w:eastAsia="zh-CN" w:bidi="ar-SA"/>
        </w:rPr>
        <w:t>27</w:t>
      </w:r>
      <w:r>
        <w:rPr>
          <w:rFonts w:hint="default" w:ascii="Times New Roman" w:hAnsi="Times New Roman" w:eastAsia="仿宋_GB2312" w:cs="Times New Roman"/>
          <w:color w:val="auto"/>
          <w:sz w:val="32"/>
          <w:szCs w:val="32"/>
          <w:lang w:val="zh-CN" w:eastAsia="zh-CN" w:bidi="ar-SA"/>
        </w:rPr>
        <w:t>个。</w:t>
      </w:r>
      <w:r>
        <w:rPr>
          <w:rFonts w:hint="default" w:ascii="Times New Roman" w:hAnsi="Times New Roman" w:eastAsia="仿宋_GB2312" w:cs="Times New Roman"/>
          <w:color w:val="000000"/>
          <w:kern w:val="2"/>
          <w:sz w:val="32"/>
          <w:szCs w:val="32"/>
          <w:lang w:val="en-US" w:eastAsia="zh-CN" w:bidi="ar-SA"/>
        </w:rPr>
        <w:t>酒都公园创成国家AAA级旅游景区；</w:t>
      </w:r>
      <w:r>
        <w:rPr>
          <w:rFonts w:hint="default" w:ascii="Times New Roman" w:hAnsi="Times New Roman" w:eastAsia="仿宋_GB2312" w:cs="Times New Roman"/>
          <w:color w:val="000000"/>
          <w:spacing w:val="0"/>
          <w:w w:val="100"/>
          <w:position w:val="0"/>
          <w:sz w:val="32"/>
          <w:szCs w:val="32"/>
          <w:lang w:val="en-US" w:eastAsia="zh-CN"/>
        </w:rPr>
        <w:t>耿车镇</w:t>
      </w:r>
      <w:r>
        <w:rPr>
          <w:rFonts w:hint="default" w:ascii="Times New Roman" w:hAnsi="Times New Roman" w:eastAsia="仿宋_GB2312" w:cs="Times New Roman"/>
          <w:color w:val="000000"/>
          <w:spacing w:val="0"/>
          <w:w w:val="100"/>
          <w:kern w:val="2"/>
          <w:position w:val="0"/>
          <w:sz w:val="32"/>
          <w:szCs w:val="32"/>
          <w:lang w:val="en-US" w:eastAsia="zh-CN" w:bidi="ar-SA"/>
        </w:rPr>
        <w:t>刘</w:t>
      </w:r>
      <w:r>
        <w:rPr>
          <w:rFonts w:hint="default" w:ascii="Times New Roman" w:hAnsi="Times New Roman" w:eastAsia="仿宋_GB2312" w:cs="Times New Roman"/>
          <w:sz w:val="32"/>
          <w:szCs w:val="32"/>
        </w:rPr>
        <w:t>圩村</w:t>
      </w:r>
      <w:r>
        <w:rPr>
          <w:rFonts w:hint="default" w:ascii="Times New Roman" w:hAnsi="Times New Roman" w:eastAsia="仿宋_GB2312" w:cs="Times New Roman"/>
          <w:color w:val="000000"/>
          <w:sz w:val="32"/>
          <w:szCs w:val="32"/>
          <w:lang w:val="zh-CN"/>
        </w:rPr>
        <w:t>入围全国乡村旅游重点村</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pacing w:val="0"/>
          <w:w w:val="100"/>
          <w:position w:val="0"/>
          <w:sz w:val="32"/>
          <w:szCs w:val="32"/>
          <w:lang w:val="en-US" w:eastAsia="zh-CN"/>
        </w:rPr>
        <w:t>蔡集镇牛角村入选2021年第二批江苏省乡村旅游重点村</w:t>
      </w:r>
      <w:r>
        <w:rPr>
          <w:rFonts w:hint="default" w:ascii="Times New Roman" w:hAnsi="Times New Roman" w:eastAsia="仿宋_GB2312" w:cs="Times New Roman"/>
          <w:color w:val="000000"/>
          <w:kern w:val="2"/>
          <w:sz w:val="32"/>
          <w:szCs w:val="32"/>
          <w:lang w:val="en-US" w:eastAsia="zh-CN" w:bidi="ar-SA"/>
        </w:rPr>
        <w:t>。积极构建</w:t>
      </w:r>
      <w:r>
        <w:rPr>
          <w:rFonts w:hint="default" w:ascii="Times New Roman" w:hAnsi="Times New Roman" w:eastAsia="仿宋_GB2312" w:cs="Times New Roman"/>
          <w:sz w:val="32"/>
          <w:szCs w:val="32"/>
          <w:lang w:val="en-US" w:eastAsia="zh-CN"/>
        </w:rPr>
        <w:t>“1+6+X”文旅消费机制，</w:t>
      </w:r>
      <w:r>
        <w:rPr>
          <w:rFonts w:hint="default" w:ascii="Times New Roman" w:hAnsi="Times New Roman" w:eastAsia="仿宋_GB2312" w:cs="Times New Roman"/>
          <w:color w:val="000000"/>
          <w:kern w:val="2"/>
          <w:sz w:val="32"/>
          <w:szCs w:val="32"/>
          <w:lang w:val="en-US" w:eastAsia="zh-CN" w:bidi="ar-SA"/>
        </w:rPr>
        <w:t>打造“酒都不打烊”“水韵宿城”文旅品牌。</w:t>
      </w:r>
      <w:r>
        <w:rPr>
          <w:rFonts w:hint="default" w:ascii="Times New Roman" w:hAnsi="Times New Roman" w:eastAsia="仿宋_GB2312" w:cs="Times New Roman"/>
          <w:color w:val="000000"/>
          <w:spacing w:val="0"/>
          <w:w w:val="100"/>
          <w:position w:val="0"/>
          <w:sz w:val="32"/>
          <w:szCs w:val="32"/>
          <w:lang w:val="en-US" w:eastAsia="zh-CN"/>
        </w:rPr>
        <w:t>区文化馆获评国家一级馆；</w:t>
      </w:r>
      <w:r>
        <w:rPr>
          <w:rFonts w:hint="default" w:ascii="Times New Roman" w:hAnsi="Times New Roman" w:eastAsia="仿宋_GB2312" w:cs="Times New Roman"/>
          <w:color w:val="000000"/>
          <w:sz w:val="32"/>
          <w:szCs w:val="30"/>
          <w:lang w:val="en-US" w:eastAsia="zh-CN"/>
        </w:rPr>
        <w:t>区非遗馆</w:t>
      </w:r>
      <w:r>
        <w:rPr>
          <w:rFonts w:hint="default" w:ascii="Times New Roman" w:hAnsi="Times New Roman" w:eastAsia="仿宋_GB2312" w:cs="Times New Roman"/>
          <w:color w:val="000000"/>
          <w:spacing w:val="0"/>
          <w:w w:val="100"/>
          <w:position w:val="0"/>
          <w:sz w:val="32"/>
          <w:szCs w:val="32"/>
          <w:lang w:val="en-US" w:eastAsia="zh-CN"/>
        </w:rPr>
        <w:t>等3家文化空间获江苏省“最美公共文化空间”。持续擦亮“马陵放歌”“周末书场”文化惠民品牌，深化“钟吾大讲堂”“阅读直通车”等特色阅读品牌。举办“艺启幸福”“阅读四季”等公益培训130期。</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教育事业优质发展。</w:t>
      </w:r>
      <w:r>
        <w:rPr>
          <w:rFonts w:hint="eastAsia" w:ascii="Times New Roman" w:hAnsi="Times New Roman" w:eastAsia="仿宋_GB2312" w:cs="Times New Roman"/>
          <w:color w:val="auto"/>
          <w:sz w:val="32"/>
          <w:szCs w:val="32"/>
          <w:lang w:eastAsia="zh-CN"/>
        </w:rPr>
        <w:t>全区拥有各类学校</w:t>
      </w:r>
      <w:r>
        <w:rPr>
          <w:rFonts w:hint="eastAsia" w:ascii="Times New Roman" w:hAnsi="Times New Roman" w:eastAsia="仿宋_GB2312" w:cs="Times New Roman"/>
          <w:color w:val="auto"/>
          <w:sz w:val="32"/>
          <w:szCs w:val="32"/>
          <w:lang w:val="en-US" w:eastAsia="zh-CN"/>
        </w:rPr>
        <w:t>31所，</w:t>
      </w:r>
      <w:r>
        <w:rPr>
          <w:rFonts w:hint="default" w:ascii="Times New Roman" w:hAnsi="Times New Roman" w:eastAsia="仿宋_GB2312" w:cs="Times New Roman"/>
          <w:color w:val="auto"/>
          <w:sz w:val="32"/>
          <w:szCs w:val="32"/>
        </w:rPr>
        <w:t>共有教职工数</w:t>
      </w:r>
      <w:r>
        <w:rPr>
          <w:rFonts w:hint="default" w:ascii="Times New Roman" w:hAnsi="Times New Roman" w:eastAsia="仿宋_GB2312" w:cs="Times New Roman"/>
          <w:color w:val="auto"/>
          <w:sz w:val="32"/>
          <w:szCs w:val="32"/>
          <w:lang w:val="en-US"/>
        </w:rPr>
        <w:t>9775</w:t>
      </w:r>
      <w:r>
        <w:rPr>
          <w:rFonts w:hint="default" w:ascii="Times New Roman" w:hAnsi="Times New Roman" w:eastAsia="仿宋_GB2312" w:cs="Times New Roman"/>
          <w:color w:val="auto"/>
          <w:sz w:val="32"/>
          <w:szCs w:val="32"/>
        </w:rPr>
        <w:t>人，其中专任教师</w:t>
      </w:r>
      <w:r>
        <w:rPr>
          <w:rFonts w:hint="default" w:ascii="Times New Roman" w:hAnsi="Times New Roman" w:eastAsia="仿宋_GB2312" w:cs="Times New Roman"/>
          <w:color w:val="auto"/>
          <w:sz w:val="32"/>
          <w:szCs w:val="32"/>
          <w:lang w:val="en-US"/>
        </w:rPr>
        <w:t>7888</w:t>
      </w:r>
      <w:r>
        <w:rPr>
          <w:rFonts w:hint="default" w:ascii="Times New Roman" w:hAnsi="Times New Roman" w:eastAsia="仿宋_GB2312" w:cs="Times New Roman"/>
          <w:color w:val="auto"/>
          <w:sz w:val="32"/>
          <w:szCs w:val="32"/>
        </w:rPr>
        <w:t>人。有普通中学（无高中）20所，招生</w:t>
      </w:r>
      <w:r>
        <w:rPr>
          <w:rFonts w:hint="default" w:ascii="Times New Roman" w:hAnsi="Times New Roman" w:eastAsia="仿宋_GB2312" w:cs="Times New Roman"/>
          <w:color w:val="auto"/>
          <w:sz w:val="32"/>
          <w:szCs w:val="32"/>
          <w:lang w:val="en-US"/>
        </w:rPr>
        <w:t>7942</w:t>
      </w:r>
      <w:r>
        <w:rPr>
          <w:rFonts w:hint="default" w:ascii="Times New Roman" w:hAnsi="Times New Roman" w:eastAsia="仿宋_GB2312" w:cs="Times New Roman"/>
          <w:color w:val="auto"/>
          <w:sz w:val="32"/>
          <w:szCs w:val="32"/>
        </w:rPr>
        <w:t>人，在校生</w:t>
      </w:r>
      <w:r>
        <w:rPr>
          <w:rFonts w:hint="default" w:ascii="Times New Roman" w:hAnsi="Times New Roman" w:eastAsia="仿宋_GB2312" w:cs="Times New Roman"/>
          <w:color w:val="auto"/>
          <w:sz w:val="32"/>
          <w:szCs w:val="32"/>
          <w:lang w:val="en-US"/>
        </w:rPr>
        <w:t>20392</w:t>
      </w:r>
      <w:r>
        <w:rPr>
          <w:rFonts w:hint="default" w:ascii="Times New Roman" w:hAnsi="Times New Roman" w:eastAsia="仿宋_GB2312" w:cs="Times New Roman"/>
          <w:color w:val="auto"/>
          <w:sz w:val="32"/>
          <w:szCs w:val="32"/>
        </w:rPr>
        <w:t>人，毕业生</w:t>
      </w:r>
      <w:r>
        <w:rPr>
          <w:rFonts w:hint="default" w:ascii="Times New Roman" w:hAnsi="Times New Roman" w:eastAsia="仿宋_GB2312" w:cs="Times New Roman"/>
          <w:color w:val="auto"/>
          <w:sz w:val="32"/>
          <w:szCs w:val="32"/>
          <w:lang w:val="en-US"/>
        </w:rPr>
        <w:t>5076</w:t>
      </w:r>
      <w:r>
        <w:rPr>
          <w:rFonts w:hint="default" w:ascii="Times New Roman" w:hAnsi="Times New Roman" w:eastAsia="仿宋_GB2312" w:cs="Times New Roman"/>
          <w:color w:val="auto"/>
          <w:sz w:val="32"/>
          <w:szCs w:val="32"/>
        </w:rPr>
        <w:t>人；职业中学2所，招生</w:t>
      </w:r>
      <w:r>
        <w:rPr>
          <w:rFonts w:hint="default" w:ascii="Times New Roman" w:hAnsi="Times New Roman" w:eastAsia="仿宋_GB2312" w:cs="Times New Roman"/>
          <w:color w:val="auto"/>
          <w:sz w:val="32"/>
          <w:szCs w:val="32"/>
          <w:lang w:val="en-US"/>
        </w:rPr>
        <w:t>2483</w:t>
      </w:r>
      <w:r>
        <w:rPr>
          <w:rFonts w:hint="default" w:ascii="Times New Roman" w:hAnsi="Times New Roman" w:eastAsia="仿宋_GB2312" w:cs="Times New Roman"/>
          <w:color w:val="auto"/>
          <w:sz w:val="32"/>
          <w:szCs w:val="32"/>
        </w:rPr>
        <w:t>人，在校生</w:t>
      </w:r>
      <w:r>
        <w:rPr>
          <w:rFonts w:hint="default" w:ascii="Times New Roman" w:hAnsi="Times New Roman" w:eastAsia="仿宋_GB2312" w:cs="Times New Roman"/>
          <w:color w:val="auto"/>
          <w:sz w:val="32"/>
          <w:szCs w:val="32"/>
          <w:lang w:val="en-US"/>
        </w:rPr>
        <w:t>5797</w:t>
      </w:r>
      <w:r>
        <w:rPr>
          <w:rFonts w:hint="default" w:ascii="Times New Roman" w:hAnsi="Times New Roman" w:eastAsia="仿宋_GB2312" w:cs="Times New Roman"/>
          <w:color w:val="auto"/>
          <w:sz w:val="32"/>
          <w:szCs w:val="32"/>
        </w:rPr>
        <w:t>人，毕业生</w:t>
      </w:r>
      <w:r>
        <w:rPr>
          <w:rFonts w:hint="default" w:ascii="Times New Roman" w:hAnsi="Times New Roman" w:eastAsia="仿宋_GB2312" w:cs="Times New Roman"/>
          <w:color w:val="auto"/>
          <w:sz w:val="32"/>
          <w:szCs w:val="32"/>
          <w:lang w:val="en-US"/>
        </w:rPr>
        <w:t>1374</w:t>
      </w:r>
      <w:r>
        <w:rPr>
          <w:rFonts w:hint="default" w:ascii="Times New Roman" w:hAnsi="Times New Roman" w:eastAsia="仿宋_GB2312" w:cs="Times New Roman"/>
          <w:color w:val="auto"/>
          <w:sz w:val="32"/>
          <w:szCs w:val="32"/>
        </w:rPr>
        <w:t>人；小学</w:t>
      </w:r>
      <w:r>
        <w:rPr>
          <w:rFonts w:hint="default" w:ascii="Times New Roman" w:hAnsi="Times New Roman" w:eastAsia="仿宋_GB2312" w:cs="Times New Roman"/>
          <w:color w:val="auto"/>
          <w:sz w:val="32"/>
          <w:szCs w:val="32"/>
          <w:lang w:val="en-US"/>
        </w:rPr>
        <w:t>24</w:t>
      </w:r>
      <w:r>
        <w:rPr>
          <w:rFonts w:hint="default" w:ascii="Times New Roman" w:hAnsi="Times New Roman" w:eastAsia="仿宋_GB2312" w:cs="Times New Roman"/>
          <w:color w:val="auto"/>
          <w:sz w:val="32"/>
          <w:szCs w:val="32"/>
        </w:rPr>
        <w:t>所，招生</w:t>
      </w:r>
      <w:r>
        <w:rPr>
          <w:rFonts w:hint="default" w:ascii="Times New Roman" w:hAnsi="Times New Roman" w:eastAsia="仿宋_GB2312" w:cs="Times New Roman"/>
          <w:color w:val="auto"/>
          <w:sz w:val="32"/>
          <w:szCs w:val="32"/>
          <w:lang w:val="en-US"/>
        </w:rPr>
        <w:t>10328</w:t>
      </w:r>
      <w:r>
        <w:rPr>
          <w:rFonts w:hint="default" w:ascii="Times New Roman" w:hAnsi="Times New Roman" w:eastAsia="仿宋_GB2312" w:cs="Times New Roman"/>
          <w:color w:val="auto"/>
          <w:sz w:val="32"/>
          <w:szCs w:val="32"/>
        </w:rPr>
        <w:t>人，在校生</w:t>
      </w:r>
      <w:r>
        <w:rPr>
          <w:rFonts w:hint="default" w:ascii="Times New Roman" w:hAnsi="Times New Roman" w:eastAsia="仿宋_GB2312" w:cs="Times New Roman"/>
          <w:color w:val="auto"/>
          <w:sz w:val="32"/>
          <w:szCs w:val="32"/>
          <w:lang w:val="en-US"/>
        </w:rPr>
        <w:t>68715</w:t>
      </w:r>
      <w:r>
        <w:rPr>
          <w:rFonts w:hint="default" w:ascii="Times New Roman" w:hAnsi="Times New Roman" w:eastAsia="仿宋_GB2312" w:cs="Times New Roman"/>
          <w:color w:val="auto"/>
          <w:sz w:val="32"/>
          <w:szCs w:val="32"/>
        </w:rPr>
        <w:t>人，毕业生</w:t>
      </w:r>
      <w:r>
        <w:rPr>
          <w:rFonts w:hint="default" w:ascii="Times New Roman" w:hAnsi="Times New Roman" w:eastAsia="仿宋_GB2312" w:cs="Times New Roman"/>
          <w:color w:val="auto"/>
          <w:sz w:val="32"/>
          <w:szCs w:val="32"/>
          <w:lang w:val="en-US"/>
        </w:rPr>
        <w:t>10068</w:t>
      </w:r>
      <w:r>
        <w:rPr>
          <w:rFonts w:hint="default" w:ascii="Times New Roman" w:hAnsi="Times New Roman" w:eastAsia="仿宋_GB2312" w:cs="Times New Roman"/>
          <w:color w:val="auto"/>
          <w:sz w:val="32"/>
          <w:szCs w:val="32"/>
        </w:rPr>
        <w:t>人；幼儿园</w:t>
      </w:r>
      <w:r>
        <w:rPr>
          <w:rFonts w:hint="default" w:ascii="Times New Roman" w:hAnsi="Times New Roman" w:eastAsia="仿宋_GB2312" w:cs="Times New Roman"/>
          <w:color w:val="auto"/>
          <w:sz w:val="32"/>
          <w:szCs w:val="32"/>
          <w:lang w:val="en-US"/>
        </w:rPr>
        <w:t>85</w:t>
      </w:r>
      <w:r>
        <w:rPr>
          <w:rFonts w:hint="default" w:ascii="Times New Roman" w:hAnsi="Times New Roman" w:eastAsia="仿宋_GB2312" w:cs="Times New Roman"/>
          <w:color w:val="auto"/>
          <w:sz w:val="32"/>
          <w:szCs w:val="32"/>
        </w:rPr>
        <w:t>所，招生</w:t>
      </w:r>
      <w:r>
        <w:rPr>
          <w:rFonts w:hint="default" w:ascii="Times New Roman" w:hAnsi="Times New Roman" w:eastAsia="仿宋_GB2312" w:cs="Times New Roman"/>
          <w:color w:val="auto"/>
          <w:sz w:val="32"/>
          <w:szCs w:val="32"/>
          <w:lang w:val="en-US"/>
        </w:rPr>
        <w:t>8725</w:t>
      </w:r>
      <w:r>
        <w:rPr>
          <w:rFonts w:hint="default" w:ascii="Times New Roman" w:hAnsi="Times New Roman" w:eastAsia="仿宋_GB2312" w:cs="Times New Roman"/>
          <w:color w:val="auto"/>
          <w:sz w:val="32"/>
          <w:szCs w:val="32"/>
        </w:rPr>
        <w:t>人，在校生</w:t>
      </w:r>
      <w:r>
        <w:rPr>
          <w:rFonts w:hint="default" w:ascii="Times New Roman" w:hAnsi="Times New Roman" w:eastAsia="仿宋_GB2312" w:cs="Times New Roman"/>
          <w:color w:val="auto"/>
          <w:sz w:val="32"/>
          <w:szCs w:val="32"/>
          <w:lang w:val="en-US"/>
        </w:rPr>
        <w:t>29253</w:t>
      </w:r>
      <w:r>
        <w:rPr>
          <w:rFonts w:hint="default" w:ascii="Times New Roman" w:hAnsi="Times New Roman" w:eastAsia="仿宋_GB2312" w:cs="Times New Roman"/>
          <w:color w:val="auto"/>
          <w:sz w:val="32"/>
          <w:szCs w:val="32"/>
        </w:rPr>
        <w:t>人，毕业生</w:t>
      </w:r>
      <w:r>
        <w:rPr>
          <w:rFonts w:hint="default" w:ascii="Times New Roman" w:hAnsi="Times New Roman" w:eastAsia="仿宋_GB2312" w:cs="Times New Roman"/>
          <w:color w:val="auto"/>
          <w:sz w:val="32"/>
          <w:szCs w:val="32"/>
          <w:lang w:val="en-US"/>
        </w:rPr>
        <w:t>11202</w:t>
      </w:r>
      <w:r>
        <w:rPr>
          <w:rFonts w:hint="default" w:ascii="Times New Roman" w:hAnsi="Times New Roman" w:eastAsia="仿宋_GB2312" w:cs="Times New Roman"/>
          <w:color w:val="auto"/>
          <w:sz w:val="32"/>
          <w:szCs w:val="32"/>
        </w:rPr>
        <w:t>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val="0"/>
          <w:color w:val="auto"/>
          <w:sz w:val="32"/>
          <w:szCs w:val="32"/>
        </w:rPr>
        <w:t>办学条件稳步改善。</w:t>
      </w:r>
      <w:r>
        <w:rPr>
          <w:rFonts w:hint="default" w:ascii="Times New Roman" w:hAnsi="Times New Roman" w:eastAsia="仿宋_GB2312" w:cs="Times New Roman"/>
          <w:color w:val="auto"/>
          <w:sz w:val="32"/>
          <w:szCs w:val="32"/>
        </w:rPr>
        <w:t>投入8.9亿元新建、扩建17所学校、新增学位1.5万个</w:t>
      </w:r>
      <w:r>
        <w:rPr>
          <w:rFonts w:hint="default" w:ascii="Times New Roman" w:hAnsi="Times New Roman" w:eastAsia="仿宋_GB2312" w:cs="Times New Roman"/>
          <w:color w:val="auto"/>
          <w:sz w:val="32"/>
          <w:szCs w:val="32"/>
          <w:lang w:val="en-US"/>
        </w:rPr>
        <w:t>;</w:t>
      </w:r>
      <w:r>
        <w:rPr>
          <w:rFonts w:hint="default" w:ascii="Times New Roman" w:hAnsi="Times New Roman" w:eastAsia="仿宋_GB2312" w:cs="Times New Roman"/>
          <w:color w:val="auto"/>
          <w:sz w:val="32"/>
          <w:szCs w:val="32"/>
          <w:lang w:val="en-US" w:eastAsia="zh-CN"/>
        </w:rPr>
        <w:t>启动“全国智慧教育示范区”创建，</w:t>
      </w:r>
      <w:r>
        <w:rPr>
          <w:rFonts w:hint="default" w:ascii="Times New Roman" w:hAnsi="Times New Roman" w:eastAsia="仿宋_GB2312" w:cs="Times New Roman"/>
          <w:color w:val="auto"/>
          <w:sz w:val="32"/>
          <w:szCs w:val="32"/>
        </w:rPr>
        <w:t>投入1.495亿元，全区95%以上的学校都创建成为了市级智慧校园，其中19所学校创建成为省级智慧校园。</w:t>
      </w:r>
      <w:r>
        <w:rPr>
          <w:rFonts w:hint="default" w:ascii="Times New Roman" w:hAnsi="Times New Roman" w:eastAsia="仿宋_GB2312" w:cs="Times New Roman"/>
          <w:b/>
          <w:bCs w:val="0"/>
          <w:color w:val="auto"/>
          <w:sz w:val="32"/>
          <w:szCs w:val="32"/>
        </w:rPr>
        <w:t>学前教育加快发展。</w:t>
      </w:r>
      <w:r>
        <w:rPr>
          <w:rFonts w:hint="default" w:ascii="Times New Roman" w:hAnsi="Times New Roman" w:eastAsia="仿宋_GB2312" w:cs="Times New Roman"/>
          <w:color w:val="auto"/>
          <w:sz w:val="32"/>
          <w:szCs w:val="32"/>
        </w:rPr>
        <w:t>创成省优质幼儿园6所、市优质4所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全区普惠园覆盖率已达92.07%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bCs w:val="0"/>
          <w:color w:val="auto"/>
          <w:sz w:val="32"/>
          <w:szCs w:val="32"/>
        </w:rPr>
        <w:t>义务教育一体化发展。</w:t>
      </w:r>
      <w:r>
        <w:rPr>
          <w:rFonts w:hint="default" w:ascii="Times New Roman" w:hAnsi="Times New Roman" w:eastAsia="仿宋_GB2312" w:cs="Times New Roman"/>
          <w:color w:val="auto"/>
          <w:sz w:val="32"/>
          <w:szCs w:val="32"/>
        </w:rPr>
        <w:t>完成市级基础教育内涵建设项目8个，省级项目3个</w:t>
      </w:r>
      <w:r>
        <w:rPr>
          <w:rFonts w:hint="default" w:ascii="Times New Roman" w:hAnsi="Times New Roman" w:eastAsia="仿宋_GB2312" w:cs="Times New Roman"/>
          <w:color w:val="auto"/>
          <w:sz w:val="32"/>
          <w:szCs w:val="32"/>
          <w:lang w:val="en-US" w:eastAsia="zh-CN"/>
        </w:rPr>
        <w:t>;落实“双减”政策，</w:t>
      </w:r>
      <w:r>
        <w:rPr>
          <w:rFonts w:hint="default" w:ascii="Times New Roman" w:hAnsi="Times New Roman" w:eastAsia="仿宋_GB2312" w:cs="Times New Roman"/>
          <w:color w:val="auto"/>
          <w:sz w:val="32"/>
          <w:szCs w:val="32"/>
        </w:rPr>
        <w:t>开启课后服务“5+2”模式，参与课后服务的教师4155人，学生80125人，学生参与率90.23%</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FF0000"/>
          <w:sz w:val="32"/>
          <w:szCs w:val="32"/>
          <w:shd w:val="clear" w:color="auto" w:fill="FFFFFF"/>
          <w:lang w:val="en-US" w:eastAsia="zh-CN"/>
        </w:rPr>
      </w:pPr>
      <w:r>
        <w:rPr>
          <w:rFonts w:hint="default" w:ascii="Times New Roman" w:hAnsi="Times New Roman" w:eastAsia="楷体_GB2312" w:cs="Times New Roman"/>
          <w:bCs/>
          <w:color w:val="auto"/>
          <w:sz w:val="32"/>
          <w:szCs w:val="32"/>
        </w:rPr>
        <w:t>体育工作稳步发展。</w:t>
      </w:r>
      <w:r>
        <w:rPr>
          <w:rFonts w:hint="eastAsia" w:ascii="Times New Roman" w:hAnsi="Times New Roman" w:eastAsia="仿宋_GB2312" w:cs="Times New Roman"/>
          <w:color w:val="auto"/>
          <w:sz w:val="32"/>
          <w:szCs w:val="32"/>
          <w:lang w:val="en-US" w:eastAsia="zh-CN"/>
        </w:rPr>
        <w:t>全年</w:t>
      </w:r>
      <w:r>
        <w:rPr>
          <w:rFonts w:hint="default" w:ascii="Times New Roman" w:hAnsi="Times New Roman" w:eastAsia="仿宋_GB2312" w:cs="Times New Roman"/>
          <w:color w:val="auto"/>
          <w:sz w:val="32"/>
          <w:szCs w:val="32"/>
          <w:lang w:val="en-US" w:eastAsia="zh-CN"/>
        </w:rPr>
        <w:t>完成</w:t>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套健身路径、10副篮球架</w:t>
      </w:r>
      <w:r>
        <w:rPr>
          <w:rFonts w:hint="default"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rPr>
        <w:t>，新增</w:t>
      </w:r>
      <w:r>
        <w:rPr>
          <w:rFonts w:hint="default" w:ascii="Times New Roman" w:hAnsi="Times New Roman" w:eastAsia="仿宋_GB2312" w:cs="Times New Roman"/>
          <w:color w:val="auto"/>
          <w:sz w:val="32"/>
          <w:szCs w:val="32"/>
          <w:lang w:val="en-US" w:eastAsia="zh-CN"/>
        </w:rPr>
        <w:t>体育</w:t>
      </w:r>
      <w:r>
        <w:rPr>
          <w:rFonts w:hint="default" w:ascii="Times New Roman" w:hAnsi="Times New Roman" w:eastAsia="仿宋_GB2312" w:cs="Times New Roman"/>
          <w:color w:val="auto"/>
          <w:sz w:val="32"/>
          <w:szCs w:val="32"/>
        </w:rPr>
        <w:t>场地面积2</w:t>
      </w:r>
      <w:r>
        <w:rPr>
          <w:rFonts w:hint="default" w:ascii="Times New Roman" w:hAnsi="Times New Roman" w:eastAsia="仿宋_GB2312" w:cs="Times New Roman"/>
          <w:color w:val="auto"/>
          <w:sz w:val="32"/>
          <w:szCs w:val="32"/>
          <w:lang w:val="en-US" w:eastAsia="zh-CN"/>
        </w:rPr>
        <w:t>万</w:t>
      </w:r>
      <w:r>
        <w:rPr>
          <w:rFonts w:hint="default" w:ascii="Times New Roman" w:hAnsi="Times New Roman" w:eastAsia="仿宋_GB2312" w:cs="Times New Roman"/>
          <w:color w:val="auto"/>
          <w:sz w:val="32"/>
          <w:szCs w:val="32"/>
        </w:rPr>
        <w:t>平方米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在全国第十四届全国运动会中，宿城区获3银2铜。7所学校获“江苏省体育特色学校”，7所学校获“宿迁市中小学心理健康教育试点校”</w:t>
      </w:r>
      <w:r>
        <w:rPr>
          <w:rFonts w:hint="eastAsia" w:ascii="Times New Roman" w:hAnsi="Times New Roman" w:eastAsia="仿宋_GB2312" w:cs="Times New Roman"/>
          <w:color w:val="auto"/>
          <w:sz w:val="32"/>
          <w:szCs w:val="32"/>
          <w:lang w:eastAsia="zh-CN"/>
        </w:rPr>
        <w:t>。</w:t>
      </w:r>
    </w:p>
    <w:p>
      <w:pPr>
        <w:spacing w:after="0" w:line="560" w:lineRule="exact"/>
        <w:ind w:firstLine="640" w:firstLineChars="200"/>
        <w:jc w:val="both"/>
        <w:rPr>
          <w:rFonts w:hint="default" w:ascii="Times New Roman" w:hAnsi="Times New Roman" w:eastAsia="仿宋_GB2312" w:cs="Times New Roman"/>
          <w:color w:val="0000FF"/>
          <w:sz w:val="32"/>
        </w:rPr>
      </w:pPr>
      <w:r>
        <w:rPr>
          <w:rFonts w:hint="default" w:ascii="Times New Roman" w:hAnsi="Times New Roman" w:eastAsia="楷体" w:cs="Times New Roman"/>
          <w:color w:val="auto"/>
          <w:sz w:val="32"/>
          <w:szCs w:val="32"/>
        </w:rPr>
        <w:t>医疗卫生事业进一步发展。</w:t>
      </w:r>
      <w:r>
        <w:rPr>
          <w:rFonts w:hint="default" w:ascii="Times New Roman" w:hAnsi="Times New Roman" w:eastAsia="仿宋_GB2312" w:cs="Times New Roman"/>
          <w:color w:val="auto"/>
          <w:sz w:val="32"/>
        </w:rPr>
        <w:t>年末全区共有卫生机构</w:t>
      </w:r>
      <w:r>
        <w:rPr>
          <w:rFonts w:hint="default" w:ascii="Times New Roman" w:hAnsi="Times New Roman" w:eastAsia="仿宋_GB2312" w:cs="Times New Roman"/>
          <w:color w:val="auto"/>
          <w:sz w:val="32"/>
          <w:lang w:val="en-US" w:eastAsia="zh-CN"/>
        </w:rPr>
        <w:t>316</w:t>
      </w:r>
      <w:r>
        <w:rPr>
          <w:rFonts w:hint="default" w:ascii="Times New Roman" w:hAnsi="Times New Roman" w:eastAsia="仿宋_GB2312" w:cs="Times New Roman"/>
          <w:color w:val="auto"/>
          <w:sz w:val="32"/>
        </w:rPr>
        <w:t>个，比上年增长</w:t>
      </w:r>
      <w:r>
        <w:rPr>
          <w:rFonts w:hint="default" w:ascii="Times New Roman" w:hAnsi="Times New Roman" w:eastAsia="仿宋_GB2312" w:cs="Times New Roman"/>
          <w:color w:val="auto"/>
          <w:sz w:val="32"/>
          <w:lang w:val="en-US" w:eastAsia="zh-CN"/>
        </w:rPr>
        <w:t>13.3</w:t>
      </w:r>
      <w:r>
        <w:rPr>
          <w:rFonts w:hint="default" w:ascii="Times New Roman" w:hAnsi="Times New Roman" w:eastAsia="仿宋_GB2312" w:cs="Times New Roman"/>
          <w:color w:val="auto"/>
          <w:sz w:val="32"/>
        </w:rPr>
        <w:t>%；卫生技术人员</w:t>
      </w:r>
      <w:r>
        <w:rPr>
          <w:rFonts w:hint="default" w:ascii="Times New Roman" w:hAnsi="Times New Roman" w:eastAsia="仿宋_GB2312" w:cs="Times New Roman"/>
          <w:color w:val="auto"/>
          <w:sz w:val="32"/>
          <w:lang w:val="en-US" w:eastAsia="zh-CN"/>
        </w:rPr>
        <w:t>3263</w:t>
      </w:r>
      <w:r>
        <w:rPr>
          <w:rFonts w:hint="default" w:ascii="Times New Roman" w:hAnsi="Times New Roman" w:eastAsia="仿宋_GB2312" w:cs="Times New Roman"/>
          <w:color w:val="auto"/>
          <w:sz w:val="32"/>
        </w:rPr>
        <w:t>人，比上年增长</w:t>
      </w:r>
      <w:r>
        <w:rPr>
          <w:rFonts w:hint="default" w:ascii="Times New Roman" w:hAnsi="Times New Roman" w:eastAsia="仿宋_GB2312" w:cs="Times New Roman"/>
          <w:color w:val="auto"/>
          <w:sz w:val="32"/>
          <w:lang w:val="en-US" w:eastAsia="zh-CN"/>
        </w:rPr>
        <w:t>48.5</w:t>
      </w:r>
      <w:r>
        <w:rPr>
          <w:rFonts w:hint="default" w:ascii="Times New Roman" w:hAnsi="Times New Roman" w:eastAsia="仿宋_GB2312" w:cs="Times New Roman"/>
          <w:color w:val="auto"/>
          <w:sz w:val="32"/>
        </w:rPr>
        <w:t>%；执业医师</w:t>
      </w:r>
      <w:r>
        <w:rPr>
          <w:rFonts w:hint="default" w:ascii="Times New Roman" w:hAnsi="Times New Roman" w:eastAsia="仿宋_GB2312" w:cs="Times New Roman"/>
          <w:color w:val="auto"/>
          <w:sz w:val="32"/>
          <w:lang w:val="en-US" w:eastAsia="zh-CN"/>
        </w:rPr>
        <w:t>890</w:t>
      </w:r>
      <w:r>
        <w:rPr>
          <w:rFonts w:hint="default" w:ascii="Times New Roman" w:hAnsi="Times New Roman" w:eastAsia="仿宋_GB2312" w:cs="Times New Roman"/>
          <w:color w:val="auto"/>
          <w:sz w:val="32"/>
        </w:rPr>
        <w:t>人，比上年</w:t>
      </w:r>
      <w:r>
        <w:rPr>
          <w:rFonts w:hint="eastAsia" w:ascii="Times New Roman" w:hAnsi="Times New Roman" w:eastAsia="仿宋_GB2312" w:cs="Times New Roman"/>
          <w:color w:val="auto"/>
          <w:sz w:val="32"/>
          <w:lang w:eastAsia="zh-CN"/>
        </w:rPr>
        <w:t>增长</w:t>
      </w:r>
      <w:r>
        <w:rPr>
          <w:rFonts w:hint="default" w:ascii="Times New Roman" w:hAnsi="Times New Roman" w:eastAsia="仿宋_GB2312" w:cs="Times New Roman"/>
          <w:color w:val="auto"/>
          <w:sz w:val="32"/>
          <w:lang w:val="en-US" w:eastAsia="zh-CN"/>
        </w:rPr>
        <w:t>121.9</w:t>
      </w:r>
      <w:r>
        <w:rPr>
          <w:rFonts w:hint="default" w:ascii="Times New Roman" w:hAnsi="Times New Roman" w:eastAsia="仿宋_GB2312" w:cs="Times New Roman"/>
          <w:color w:val="auto"/>
          <w:sz w:val="32"/>
        </w:rPr>
        <w:t>%；助理医师</w:t>
      </w:r>
      <w:r>
        <w:rPr>
          <w:rFonts w:hint="default" w:ascii="Times New Roman" w:hAnsi="Times New Roman" w:eastAsia="仿宋_GB2312" w:cs="Times New Roman"/>
          <w:color w:val="auto"/>
          <w:sz w:val="32"/>
          <w:lang w:val="en-US" w:eastAsia="zh-CN"/>
        </w:rPr>
        <w:t>519</w:t>
      </w:r>
      <w:r>
        <w:rPr>
          <w:rFonts w:hint="default" w:ascii="Times New Roman" w:hAnsi="Times New Roman" w:eastAsia="仿宋_GB2312" w:cs="Times New Roman"/>
          <w:color w:val="auto"/>
          <w:sz w:val="32"/>
        </w:rPr>
        <w:t>人，比上年增长2.</w:t>
      </w:r>
      <w:r>
        <w:rPr>
          <w:rFonts w:hint="default"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%；注册护士</w:t>
      </w:r>
      <w:r>
        <w:rPr>
          <w:rFonts w:hint="default" w:ascii="Times New Roman" w:hAnsi="Times New Roman" w:eastAsia="仿宋_GB2312" w:cs="Times New Roman"/>
          <w:color w:val="auto"/>
          <w:sz w:val="32"/>
          <w:lang w:val="en-US" w:eastAsia="zh-CN"/>
        </w:rPr>
        <w:t>1854</w:t>
      </w:r>
      <w:r>
        <w:rPr>
          <w:rFonts w:hint="default" w:ascii="Times New Roman" w:hAnsi="Times New Roman" w:eastAsia="仿宋_GB2312" w:cs="Times New Roman"/>
          <w:color w:val="auto"/>
          <w:sz w:val="32"/>
        </w:rPr>
        <w:t>人，比上年增长</w:t>
      </w:r>
      <w:r>
        <w:rPr>
          <w:rFonts w:hint="default" w:ascii="Times New Roman" w:hAnsi="Times New Roman" w:eastAsia="仿宋_GB2312" w:cs="Times New Roman"/>
          <w:color w:val="auto"/>
          <w:sz w:val="32"/>
          <w:lang w:val="en-US" w:eastAsia="zh-CN"/>
        </w:rPr>
        <w:t>43.7</w:t>
      </w:r>
      <w:r>
        <w:rPr>
          <w:rFonts w:hint="default" w:ascii="Times New Roman" w:hAnsi="Times New Roman" w:eastAsia="仿宋_GB2312" w:cs="Times New Roman"/>
          <w:color w:val="auto"/>
          <w:sz w:val="32"/>
        </w:rPr>
        <w:t>%；卫生机构床位数</w:t>
      </w:r>
      <w:r>
        <w:rPr>
          <w:rFonts w:hint="default" w:ascii="Times New Roman" w:hAnsi="Times New Roman" w:eastAsia="仿宋_GB2312" w:cs="Times New Roman"/>
          <w:color w:val="auto"/>
          <w:sz w:val="32"/>
          <w:lang w:val="en-US" w:eastAsia="zh-CN"/>
        </w:rPr>
        <w:t>2613</w:t>
      </w:r>
      <w:r>
        <w:rPr>
          <w:rFonts w:hint="default" w:ascii="Times New Roman" w:hAnsi="Times New Roman" w:eastAsia="仿宋_GB2312" w:cs="Times New Roman"/>
          <w:color w:val="auto"/>
          <w:sz w:val="32"/>
        </w:rPr>
        <w:t>张，比上年增长</w:t>
      </w:r>
      <w:r>
        <w:rPr>
          <w:rFonts w:hint="default" w:ascii="Times New Roman" w:hAnsi="Times New Roman" w:eastAsia="仿宋_GB2312" w:cs="Times New Roman"/>
          <w:color w:val="auto"/>
          <w:sz w:val="32"/>
          <w:lang w:val="en-US" w:eastAsia="zh-CN"/>
        </w:rPr>
        <w:t>64.4</w:t>
      </w:r>
      <w:r>
        <w:rPr>
          <w:rFonts w:hint="default" w:ascii="Times New Roman" w:hAnsi="Times New Roman" w:eastAsia="仿宋_GB2312" w:cs="Times New Roman"/>
          <w:color w:val="auto"/>
          <w:sz w:val="32"/>
        </w:rPr>
        <w:t xml:space="preserve">%。 </w:t>
      </w:r>
      <w:r>
        <w:rPr>
          <w:rFonts w:hint="default" w:ascii="Times New Roman" w:hAnsi="Times New Roman" w:eastAsia="仿宋_GB2312" w:cs="Times New Roman"/>
          <w:color w:val="0000FF"/>
          <w:sz w:val="32"/>
        </w:rPr>
        <w:t xml:space="preserve"> </w:t>
      </w:r>
    </w:p>
    <w:p>
      <w:pPr>
        <w:spacing w:after="0" w:line="560" w:lineRule="exact"/>
        <w:ind w:firstLine="640" w:firstLineChars="200"/>
        <w:jc w:val="both"/>
        <w:rPr>
          <w:rFonts w:hint="default" w:ascii="Times New Roman" w:hAnsi="Times New Roman" w:eastAsia="仿宋_GB2312" w:cs="Times New Roman"/>
          <w:color w:val="0000FF"/>
          <w:sz w:val="32"/>
        </w:rPr>
      </w:pPr>
      <w:r>
        <w:rPr>
          <w:rFonts w:hint="default" w:ascii="Times New Roman" w:hAnsi="Times New Roman" w:eastAsia="楷体_GB2312" w:cs="Times New Roman"/>
          <w:bCs/>
          <w:color w:val="auto"/>
          <w:sz w:val="32"/>
          <w:szCs w:val="32"/>
          <w:lang w:val="en-US" w:eastAsia="zh-CN"/>
        </w:rPr>
        <w:t>群众健康民生实事项目稳步推进</w:t>
      </w:r>
      <w:r>
        <w:rPr>
          <w:rFonts w:hint="eastAsia" w:ascii="Times New Roman" w:hAnsi="Times New Roman" w:eastAsia="楷体_GB2312" w:cs="Times New Roman"/>
          <w:bCs/>
          <w:color w:val="auto"/>
          <w:sz w:val="32"/>
          <w:szCs w:val="32"/>
          <w:lang w:val="en-US" w:eastAsia="zh-CN"/>
        </w:rPr>
        <w:t>。</w:t>
      </w:r>
      <w:bookmarkStart w:id="0" w:name="_GoBack"/>
      <w:bookmarkEnd w:id="0"/>
      <w:r>
        <w:rPr>
          <w:rFonts w:hint="default" w:ascii="Times New Roman" w:hAnsi="Times New Roman" w:eastAsia="仿宋_GB2312" w:cs="Times New Roman"/>
          <w:color w:val="auto"/>
          <w:kern w:val="2"/>
          <w:sz w:val="32"/>
          <w:szCs w:val="32"/>
          <w:shd w:val="clear" w:color="auto" w:fill="FFFFFF"/>
          <w:lang w:val="en-US" w:eastAsia="zh-CN" w:bidi="ar-SA"/>
        </w:rPr>
        <w:t>全区居民健康电子建档率达</w:t>
      </w:r>
      <w:r>
        <w:rPr>
          <w:rFonts w:hint="default" w:ascii="Times New Roman" w:hAnsi="Times New Roman" w:eastAsia="仿宋_GB2312" w:cs="Times New Roman"/>
          <w:color w:val="auto"/>
          <w:sz w:val="32"/>
          <w:szCs w:val="32"/>
          <w:lang w:eastAsia="zh-CN"/>
        </w:rPr>
        <w:t>94.47%</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kern w:val="2"/>
          <w:sz w:val="32"/>
          <w:szCs w:val="32"/>
          <w:lang w:val="en-US" w:eastAsia="zh-CN" w:bidi="ar-SA"/>
        </w:rPr>
        <w:t>免费孕前优生健康检查覆盖率100%</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65岁以上老年人免费健康体检率</w:t>
      </w:r>
      <w:r>
        <w:rPr>
          <w:rFonts w:hint="eastAsia" w:ascii="Times New Roman" w:hAnsi="Times New Roman" w:eastAsia="仿宋_GB2312" w:cs="Times New Roman"/>
          <w:kern w:val="2"/>
          <w:sz w:val="32"/>
          <w:szCs w:val="32"/>
          <w:lang w:val="en-US" w:eastAsia="zh-CN" w:bidi="ar-SA"/>
        </w:rPr>
        <w:t>100</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大疫情网传染病预警及突发公共卫生事件及时处理率达100%。免疫规划疫苗接种率达95%以上，高血压、糖尿病慢性病患者规范管理率均达60%以上。</w:t>
      </w:r>
      <w:r>
        <w:rPr>
          <w:rFonts w:hint="default" w:ascii="Times New Roman" w:hAnsi="Times New Roman" w:eastAsia="仿宋_GB2312" w:cs="Times New Roman"/>
          <w:color w:val="0000FF"/>
          <w:sz w:val="32"/>
        </w:rPr>
        <w:t xml:space="preserve">      </w:t>
      </w:r>
    </w:p>
    <w:p>
      <w:pPr>
        <w:spacing w:after="0" w:line="560" w:lineRule="exact"/>
        <w:ind w:firstLine="640" w:firstLineChars="200"/>
        <w:jc w:val="both"/>
        <w:rPr>
          <w:rFonts w:hint="default" w:ascii="Times New Roman" w:hAnsi="Times New Roman" w:eastAsia="黑体" w:cs="Times New Roman"/>
          <w:color w:val="auto"/>
          <w:sz w:val="32"/>
          <w:szCs w:val="32"/>
        </w:rPr>
      </w:pPr>
      <w:r>
        <w:rPr>
          <w:rFonts w:hint="default" w:ascii="Times New Roman" w:hAnsi="Times New Roman" w:eastAsia="楷体_GB2312" w:cs="Times New Roman"/>
          <w:bCs/>
          <w:color w:val="auto"/>
          <w:sz w:val="32"/>
          <w:szCs w:val="32"/>
        </w:rPr>
        <w:t>生态环境质量明显改善</w:t>
      </w:r>
      <w:r>
        <w:rPr>
          <w:rFonts w:hint="default" w:ascii="Times New Roman" w:hAnsi="Times New Roman" w:eastAsia="楷体_GB2312" w:cs="Times New Roman"/>
          <w:color w:val="auto"/>
          <w:sz w:val="32"/>
          <w:szCs w:val="32"/>
        </w:rPr>
        <w:t>。</w:t>
      </w:r>
      <w:r>
        <w:rPr>
          <w:rFonts w:hint="default" w:ascii="Times New Roman" w:hAnsi="Times New Roman" w:eastAsia="仿宋_GB2312" w:cs="Times New Roman"/>
          <w:color w:val="auto"/>
          <w:sz w:val="32"/>
          <w:szCs w:val="32"/>
        </w:rPr>
        <w:t>PM2.5浓度均值为37.4μg/m3，同比改善16.7%；空气质量优良天数达标率为80.8%，同比上升7个百分点；降尘量均值为4.1吨/平方公里·月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低于考核目标0.4吨/平方公里·月。9个国省考断面水质达标率为100%，优Ⅲ比例为88.89%。</w:t>
      </w:r>
    </w:p>
    <w:p>
      <w:pPr>
        <w:spacing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八、社会保障</w:t>
      </w:r>
    </w:p>
    <w:p>
      <w:pPr>
        <w:pStyle w:val="7"/>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楷体_GB2312" w:cs="Times New Roman"/>
          <w:bCs/>
          <w:color w:val="auto"/>
          <w:sz w:val="32"/>
          <w:szCs w:val="32"/>
          <w:lang w:val="en-US" w:eastAsia="zh-CN" w:bidi="ar-SA"/>
        </w:rPr>
        <w:t>社会保障水平稳步提高。</w:t>
      </w:r>
      <w:r>
        <w:rPr>
          <w:rFonts w:hint="default" w:ascii="Times New Roman" w:hAnsi="Times New Roman" w:eastAsia="仿宋_GB2312" w:cs="Times New Roman"/>
          <w:color w:val="auto"/>
          <w:sz w:val="32"/>
          <w:szCs w:val="32"/>
          <w:lang w:val="en-US" w:eastAsia="zh-CN" w:bidi="ar-SA"/>
        </w:rPr>
        <w:t>大力实施社会保险扩面“全民参保”计划，全区企业</w:t>
      </w:r>
      <w:r>
        <w:rPr>
          <w:rFonts w:hint="eastAsia" w:ascii="Times New Roman" w:hAnsi="Times New Roman" w:eastAsia="仿宋_GB2312" w:cs="Times New Roman"/>
          <w:color w:val="auto"/>
          <w:sz w:val="32"/>
          <w:szCs w:val="32"/>
          <w:lang w:val="en-US" w:eastAsia="zh-CN" w:bidi="ar-SA"/>
        </w:rPr>
        <w:t>基本养老保险</w:t>
      </w:r>
      <w:r>
        <w:rPr>
          <w:rFonts w:hint="default" w:ascii="Times New Roman" w:hAnsi="Times New Roman" w:eastAsia="仿宋_GB2312" w:cs="Times New Roman"/>
          <w:color w:val="auto"/>
          <w:sz w:val="32"/>
          <w:szCs w:val="32"/>
          <w:lang w:val="en-US" w:eastAsia="zh-CN" w:bidi="ar-SA"/>
        </w:rPr>
        <w:t>参保人数8.17万人，城乡居民基本养老保险参保人数17.4万人，机关事业养老保险参保人数9005人；助力落实社保扶贫工作，为全区3.06万名符合条件的建档立卡户和重度残疾人进行城乡居民养老保险保费的代缴工作，代缴金额306万元。</w:t>
      </w:r>
    </w:p>
    <w:p>
      <w:pPr>
        <w:widowControl w:val="0"/>
        <w:spacing w:after="0" w:line="560"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Cs/>
          <w:color w:val="auto"/>
          <w:sz w:val="32"/>
          <w:szCs w:val="32"/>
          <w:lang w:val="en-US" w:eastAsia="zh-CN" w:bidi="ar-SA"/>
        </w:rPr>
        <w:t>就业创业形势良好。</w:t>
      </w:r>
      <w:r>
        <w:rPr>
          <w:rFonts w:hint="default" w:ascii="Times New Roman" w:hAnsi="Times New Roman" w:eastAsia="仿宋_GB2312" w:cs="Times New Roman"/>
          <w:color w:val="auto"/>
          <w:sz w:val="32"/>
          <w:szCs w:val="32"/>
          <w:lang w:val="en-US" w:eastAsia="zh-CN"/>
        </w:rPr>
        <w:t>城镇新增就业9286人，城乡劳动者就业技能培训1.3万余人，城镇登记失业率稳定在3%以内。</w:t>
      </w:r>
      <w:r>
        <w:rPr>
          <w:rFonts w:hint="eastAsia" w:ascii="Times New Roman" w:hAnsi="Times New Roman" w:eastAsia="仿宋_GB2312" w:cs="Times New Roman"/>
          <w:color w:val="auto"/>
          <w:sz w:val="32"/>
          <w:szCs w:val="32"/>
          <w:lang w:val="en-US" w:eastAsia="zh-CN"/>
        </w:rPr>
        <w:t>全年</w:t>
      </w:r>
      <w:r>
        <w:rPr>
          <w:rFonts w:hint="default" w:ascii="Times New Roman" w:hAnsi="Times New Roman" w:eastAsia="仿宋_GB2312" w:cs="Times New Roman"/>
          <w:color w:val="auto"/>
          <w:sz w:val="32"/>
          <w:szCs w:val="32"/>
          <w:lang w:val="en-US" w:eastAsia="zh-CN"/>
        </w:rPr>
        <w:t>在疫情可控范围内，精心组织线上、线下“春风行动”活动，乡镇巡回招聘活动，“清凉一夏” “金秋送岗”“暖冬行动”等系列招引活动，为企业和求职者搭建用工平台。</w:t>
      </w:r>
      <w:r>
        <w:rPr>
          <w:rFonts w:hint="eastAsia" w:ascii="Times New Roman" w:hAnsi="Times New Roman" w:eastAsia="仿宋_GB2312" w:cs="Times New Roman"/>
          <w:color w:val="auto"/>
          <w:sz w:val="32"/>
          <w:szCs w:val="32"/>
          <w:lang w:val="en-US" w:eastAsia="zh-CN"/>
        </w:rPr>
        <w:t>全年</w:t>
      </w:r>
      <w:r>
        <w:rPr>
          <w:rFonts w:hint="default" w:ascii="Times New Roman" w:hAnsi="Times New Roman" w:eastAsia="仿宋_GB2312" w:cs="Times New Roman"/>
          <w:color w:val="auto"/>
          <w:sz w:val="32"/>
          <w:szCs w:val="32"/>
          <w:lang w:val="en-US" w:eastAsia="zh-CN"/>
        </w:rPr>
        <w:t>共举办各类招聘活动68场次，其中重点企业乡镇巡回招聘会20场次，累计提供岗位1.5万余个，达成用工意向8200余人。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楷体_GB2312" w:cs="Times New Roman"/>
          <w:bCs/>
          <w:color w:val="auto"/>
          <w:sz w:val="32"/>
          <w:szCs w:val="32"/>
          <w:lang w:val="en-US" w:eastAsia="zh-CN" w:bidi="ar-SA"/>
        </w:rPr>
        <w:t>医疗保障水平进一步提升。</w:t>
      </w:r>
      <w:r>
        <w:rPr>
          <w:rFonts w:hint="default" w:ascii="Times New Roman" w:hAnsi="Times New Roman" w:eastAsia="仿宋_GB2312" w:cs="Times New Roman"/>
          <w:color w:val="auto"/>
          <w:sz w:val="32"/>
          <w:szCs w:val="32"/>
          <w:lang w:val="en-US" w:eastAsia="zh-CN" w:bidi="ar-SA"/>
        </w:rPr>
        <w:t>全民医保目标基本实现，全年基本医疗保险参保人员达60.75万人</w:t>
      </w:r>
      <w:r>
        <w:rPr>
          <w:rFonts w:hint="eastAsia" w:ascii="Times New Roman" w:hAnsi="Times New Roman" w:eastAsia="仿宋_GB2312" w:cs="Times New Roman"/>
          <w:color w:val="auto"/>
          <w:sz w:val="32"/>
          <w:szCs w:val="32"/>
          <w:lang w:val="en-US" w:eastAsia="zh-CN" w:bidi="ar-SA"/>
        </w:rPr>
        <w:t>，其中，</w:t>
      </w:r>
      <w:r>
        <w:rPr>
          <w:rFonts w:hint="default" w:ascii="Times New Roman" w:hAnsi="Times New Roman" w:eastAsia="仿宋_GB2312" w:cs="Times New Roman"/>
          <w:color w:val="auto"/>
          <w:sz w:val="32"/>
          <w:szCs w:val="32"/>
          <w:lang w:val="en-US" w:eastAsia="zh-CN" w:bidi="ar-SA"/>
        </w:rPr>
        <w:t>居民医保52.8万人</w:t>
      </w:r>
      <w:r>
        <w:rPr>
          <w:rFonts w:hint="eastAsia"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color w:val="auto"/>
          <w:sz w:val="32"/>
          <w:szCs w:val="32"/>
          <w:lang w:val="en-US" w:eastAsia="zh-CN" w:bidi="ar-SA"/>
        </w:rPr>
        <w:t>职工医保7.9万人，参保率稳定在98%以上。职工和城乡居民医保政策范围住院费用报销比例分别提升至85%和70%左右，大病保险政策范围内最低报销比例提升至60%以上，医疗救助政策范围内救助比例不低于70%。低收入人口参加基本医疗保险实现动态全覆盖。</w:t>
      </w:r>
    </w:p>
    <w:p>
      <w:pPr>
        <w:spacing w:after="0"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九、人口和人民生活</w:t>
      </w:r>
    </w:p>
    <w:p>
      <w:pPr>
        <w:spacing w:after="0" w:line="56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年末，全区户籍总人口74.0</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万人。其中：男性</w:t>
      </w:r>
      <w:r>
        <w:rPr>
          <w:rFonts w:hint="default" w:ascii="Times New Roman" w:hAnsi="Times New Roman" w:eastAsia="仿宋_GB2312" w:cs="Times New Roman"/>
          <w:color w:val="auto"/>
          <w:sz w:val="32"/>
          <w:szCs w:val="32"/>
          <w:lang w:val="en-US" w:eastAsia="zh-CN"/>
        </w:rPr>
        <w:t>38.02</w:t>
      </w:r>
      <w:r>
        <w:rPr>
          <w:rFonts w:hint="default" w:ascii="Times New Roman" w:hAnsi="Times New Roman" w:eastAsia="仿宋_GB2312" w:cs="Times New Roman"/>
          <w:color w:val="auto"/>
          <w:sz w:val="32"/>
          <w:szCs w:val="32"/>
        </w:rPr>
        <w:t>万人，女性</w:t>
      </w:r>
      <w:r>
        <w:rPr>
          <w:rFonts w:hint="default" w:ascii="Times New Roman" w:hAnsi="Times New Roman" w:eastAsia="仿宋_GB2312" w:cs="Times New Roman"/>
          <w:color w:val="auto"/>
          <w:sz w:val="32"/>
          <w:szCs w:val="32"/>
          <w:lang w:val="en-US" w:eastAsia="zh-CN"/>
        </w:rPr>
        <w:t>36.03</w:t>
      </w:r>
      <w:r>
        <w:rPr>
          <w:rFonts w:hint="default" w:ascii="Times New Roman" w:hAnsi="Times New Roman" w:eastAsia="仿宋_GB2312" w:cs="Times New Roman"/>
          <w:color w:val="auto"/>
          <w:sz w:val="32"/>
          <w:szCs w:val="32"/>
        </w:rPr>
        <w:t>万人，男女人口性别比为105（女性为100）。全区人口计划生育率</w:t>
      </w:r>
      <w:r>
        <w:rPr>
          <w:rFonts w:hint="default" w:ascii="Times New Roman" w:hAnsi="Times New Roman" w:eastAsia="仿宋_GB2312" w:cs="Times New Roman"/>
          <w:color w:val="auto"/>
          <w:sz w:val="32"/>
          <w:szCs w:val="32"/>
          <w:lang w:val="en-US" w:eastAsia="zh-CN"/>
        </w:rPr>
        <w:t>98.23</w:t>
      </w:r>
      <w:r>
        <w:rPr>
          <w:rFonts w:hint="default" w:ascii="Times New Roman" w:hAnsi="Times New Roman" w:eastAsia="仿宋_GB2312" w:cs="Times New Roman"/>
          <w:color w:val="auto"/>
          <w:sz w:val="32"/>
          <w:szCs w:val="32"/>
        </w:rPr>
        <w:t>%，人口出生率为</w:t>
      </w:r>
      <w:r>
        <w:rPr>
          <w:rFonts w:hint="default" w:ascii="Times New Roman" w:hAnsi="Times New Roman" w:eastAsia="仿宋_GB2312" w:cs="Times New Roman"/>
          <w:color w:val="auto"/>
          <w:sz w:val="32"/>
          <w:szCs w:val="32"/>
          <w:lang w:val="en-US" w:eastAsia="zh-CN"/>
        </w:rPr>
        <w:t>7.06</w:t>
      </w:r>
      <w:r>
        <w:rPr>
          <w:rFonts w:hint="default" w:ascii="Times New Roman" w:hAnsi="Times New Roman" w:eastAsia="仿宋_GB2312" w:cs="Times New Roman"/>
          <w:color w:val="auto"/>
          <w:sz w:val="32"/>
          <w:szCs w:val="32"/>
        </w:rPr>
        <w:t>‰，人口死亡率为</w:t>
      </w:r>
      <w:r>
        <w:rPr>
          <w:rFonts w:hint="default" w:ascii="Times New Roman" w:hAnsi="Times New Roman" w:eastAsia="仿宋_GB2312" w:cs="Times New Roman"/>
          <w:color w:val="auto"/>
          <w:sz w:val="32"/>
          <w:szCs w:val="32"/>
          <w:lang w:val="en-US" w:eastAsia="zh-CN"/>
        </w:rPr>
        <w:t>3.91</w:t>
      </w:r>
      <w:r>
        <w:rPr>
          <w:rFonts w:hint="default" w:ascii="Times New Roman" w:hAnsi="Times New Roman" w:eastAsia="仿宋_GB2312" w:cs="Times New Roman"/>
          <w:color w:val="auto"/>
          <w:sz w:val="32"/>
          <w:szCs w:val="32"/>
        </w:rPr>
        <w:t>‰，自然增长率为3.16‰。全区城镇化率</w:t>
      </w:r>
      <w:r>
        <w:rPr>
          <w:rFonts w:hint="default" w:ascii="Times New Roman" w:hAnsi="Times New Roman" w:eastAsia="仿宋_GB2312" w:cs="Times New Roman"/>
          <w:color w:val="auto"/>
          <w:sz w:val="32"/>
          <w:szCs w:val="32"/>
          <w:lang w:val="en-US" w:eastAsia="zh-CN"/>
        </w:rPr>
        <w:t>66.18</w:t>
      </w:r>
      <w:r>
        <w:rPr>
          <w:rFonts w:hint="default" w:ascii="Times New Roman" w:hAnsi="Times New Roman" w:eastAsia="仿宋_GB2312" w:cs="Times New Roman"/>
          <w:color w:val="auto"/>
          <w:sz w:val="32"/>
          <w:szCs w:val="32"/>
        </w:rPr>
        <w:t>%，比去年提高</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个百分点。</w:t>
      </w:r>
    </w:p>
    <w:p>
      <w:pPr>
        <w:spacing w:after="0" w:line="480" w:lineRule="auto"/>
        <w:ind w:firstLine="440" w:firstLineChars="200"/>
        <w:jc w:val="both"/>
        <w:rPr>
          <w:rFonts w:hint="default" w:ascii="Times New Roman" w:hAnsi="Times New Roman" w:cs="Times New Roman"/>
        </w:rPr>
      </w:pPr>
      <w:r>
        <w:rPr>
          <w:rFonts w:hint="default" w:ascii="Times New Roman" w:hAnsi="Times New Roman" w:cs="Times New Roman"/>
        </w:rPr>
        <w:drawing>
          <wp:inline distT="0" distB="0" distL="114300" distR="114300">
            <wp:extent cx="4491990" cy="2381250"/>
            <wp:effectExtent l="4445" t="4445" r="14605" b="698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4"/>
        <w:jc w:val="left"/>
        <w:rPr>
          <w:rFonts w:hint="default" w:ascii="Times New Roman" w:hAnsi="Times New Roman" w:eastAsia="微软雅黑" w:cs="Times New Roman"/>
          <w:lang w:eastAsia="zh-CN"/>
        </w:rPr>
      </w:pPr>
      <w:r>
        <w:rPr>
          <w:rFonts w:hint="default" w:ascii="Times New Roman" w:hAnsi="Times New Roman" w:cs="Times New Roman"/>
          <w:lang w:eastAsia="zh-CN"/>
        </w:rPr>
        <w:t>备注：根据第七次全国人口普查调整反馈。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default"/>
        </w:rPr>
      </w:pPr>
      <w:r>
        <w:rPr>
          <w:rFonts w:hint="eastAsia" w:ascii="楷体_GB2312" w:hAnsi="楷体_GB2312" w:eastAsia="楷体_GB2312" w:cs="楷体_GB2312"/>
          <w:color w:val="auto"/>
          <w:sz w:val="32"/>
          <w:szCs w:val="32"/>
        </w:rPr>
        <w:t>居民收入</w:t>
      </w:r>
      <w:r>
        <w:rPr>
          <w:rFonts w:hint="eastAsia" w:ascii="楷体_GB2312" w:hAnsi="楷体_GB2312" w:eastAsia="楷体_GB2312" w:cs="楷体_GB2312"/>
          <w:color w:val="auto"/>
          <w:sz w:val="32"/>
          <w:szCs w:val="32"/>
          <w:lang w:eastAsia="zh-CN"/>
        </w:rPr>
        <w:t>稳步</w:t>
      </w:r>
      <w:r>
        <w:rPr>
          <w:rFonts w:hint="eastAsia" w:ascii="楷体_GB2312" w:hAnsi="楷体_GB2312" w:eastAsia="楷体_GB2312" w:cs="楷体_GB2312"/>
          <w:color w:val="auto"/>
          <w:sz w:val="32"/>
          <w:szCs w:val="32"/>
        </w:rPr>
        <w:t>增长。</w:t>
      </w:r>
      <w:r>
        <w:rPr>
          <w:rFonts w:hint="default" w:ascii="Times New Roman" w:hAnsi="Times New Roman" w:eastAsia="仿宋_GB2312" w:cs="Times New Roman"/>
          <w:color w:val="auto"/>
          <w:kern w:val="0"/>
          <w:sz w:val="32"/>
          <w:szCs w:val="32"/>
          <w:lang w:val="en-US" w:eastAsia="zh-CN" w:bidi="ar"/>
        </w:rPr>
        <w:t>全体居民人均可支配收入32030元，同比增长10.5%。其中，城镇居民人均可支配收入38701元，同比增长9.8%；农村居民人均可支配收入21392元，同比增长11.0%。</w:t>
      </w:r>
      <w:r>
        <w:rPr>
          <w:rFonts w:ascii="Times New Roman" w:hAnsi="仿宋_GB2312" w:eastAsia="仿宋_GB2312" w:cs="Times New Roman"/>
          <w:sz w:val="32"/>
          <w:szCs w:val="32"/>
        </w:rPr>
        <w:t>城乡</w:t>
      </w:r>
      <w:r>
        <w:rPr>
          <w:rFonts w:hint="eastAsia" w:ascii="Times New Roman" w:hAnsi="仿宋_GB2312" w:eastAsia="仿宋_GB2312" w:cs="Times New Roman"/>
          <w:sz w:val="32"/>
          <w:szCs w:val="32"/>
          <w:lang w:eastAsia="zh-CN"/>
        </w:rPr>
        <w:t>居民</w:t>
      </w:r>
      <w:r>
        <w:rPr>
          <w:rFonts w:ascii="Times New Roman" w:hAnsi="仿宋_GB2312" w:eastAsia="仿宋_GB2312" w:cs="Times New Roman"/>
          <w:sz w:val="32"/>
          <w:szCs w:val="32"/>
        </w:rPr>
        <w:t>收入比由</w:t>
      </w:r>
      <w:r>
        <w:rPr>
          <w:rFonts w:hint="eastAsia" w:ascii="Times New Roman" w:hAnsi="Times New Roman" w:eastAsia="仿宋_GB2312" w:cs="Times New Roman"/>
          <w:sz w:val="32"/>
          <w:szCs w:val="32"/>
          <w:lang w:val="en-US" w:eastAsia="zh-CN"/>
        </w:rPr>
        <w:t>2020</w:t>
      </w:r>
      <w:r>
        <w:rPr>
          <w:rFonts w:ascii="Times New Roman" w:hAnsi="仿宋_GB2312" w:eastAsia="仿宋_GB2312" w:cs="Times New Roman"/>
          <w:sz w:val="32"/>
          <w:szCs w:val="32"/>
        </w:rPr>
        <w:t>年的</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:1</w:t>
      </w:r>
      <w:r>
        <w:rPr>
          <w:rFonts w:ascii="Times New Roman" w:hAnsi="仿宋_GB2312" w:eastAsia="仿宋_GB2312" w:cs="Times New Roman"/>
          <w:sz w:val="32"/>
          <w:szCs w:val="32"/>
        </w:rPr>
        <w:t>降为</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:1</w:t>
      </w:r>
      <w:r>
        <w:rPr>
          <w:rFonts w:ascii="Times New Roman" w:hAnsi="仿宋_GB2312" w:eastAsia="仿宋_GB2312" w:cs="Times New Roman"/>
          <w:sz w:val="32"/>
          <w:szCs w:val="32"/>
        </w:rPr>
        <w:t>，差距进一步缩小。</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全区居民人均消费支出19090元，同比增长18.8%。按常住地划分，城镇居民生活消费支出22315元，同比增长16.9%；农村居民生活消费支出13948元，同比增长22.3%。</w:t>
      </w:r>
    </w:p>
    <w:p>
      <w:pPr>
        <w:pStyle w:val="7"/>
        <w:spacing w:before="0" w:beforeAutospacing="0" w:after="0" w:afterAutospacing="0" w:line="480" w:lineRule="auto"/>
        <w:jc w:val="center"/>
        <w:rPr>
          <w:rFonts w:hint="default" w:ascii="Times New Roman" w:hAnsi="Times New Roman" w:eastAsia="仿宋_GB2312" w:cs="Times New Roman"/>
          <w:color w:val="auto"/>
          <w:szCs w:val="21"/>
        </w:rPr>
      </w:pPr>
      <w:r>
        <w:rPr>
          <w:rFonts w:hint="default" w:ascii="Times New Roman" w:hAnsi="Times New Roman" w:cs="Times New Roman"/>
          <w:color w:val="auto"/>
        </w:rPr>
        <w:drawing>
          <wp:inline distT="0" distB="0" distL="114300" distR="114300">
            <wp:extent cx="4486910" cy="2650490"/>
            <wp:effectExtent l="4445" t="4445" r="19685" b="1206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autoSpaceDE w:val="0"/>
        <w:autoSpaceDN w:val="0"/>
        <w:spacing w:after="0" w:line="560" w:lineRule="exact"/>
        <w:ind w:firstLine="220" w:firstLineChars="100"/>
        <w:rPr>
          <w:rFonts w:hint="default" w:ascii="Times New Roman" w:hAnsi="Times New Roman" w:eastAsia="仿宋_GB2312" w:cs="Times New Roman"/>
          <w:color w:val="auto"/>
          <w:szCs w:val="21"/>
          <w:lang w:val="zh-CN"/>
        </w:rPr>
      </w:pPr>
      <w:r>
        <w:rPr>
          <w:rFonts w:hint="default" w:ascii="Times New Roman" w:hAnsi="Times New Roman" w:eastAsia="仿宋_GB2312" w:cs="Times New Roman"/>
          <w:color w:val="auto"/>
          <w:szCs w:val="21"/>
        </w:rPr>
        <w:t>注：</w:t>
      </w:r>
      <w:r>
        <w:rPr>
          <w:rFonts w:hint="default" w:ascii="Times New Roman" w:hAnsi="Times New Roman" w:eastAsia="仿宋_GB2312" w:cs="Times New Roman"/>
          <w:color w:val="auto"/>
          <w:szCs w:val="21"/>
          <w:lang w:val="zh-CN"/>
        </w:rPr>
        <w:t>（1）本公报使用的数据为快报数。</w:t>
      </w:r>
    </w:p>
    <w:p>
      <w:pPr>
        <w:autoSpaceDE w:val="0"/>
        <w:autoSpaceDN w:val="0"/>
        <w:spacing w:after="0" w:line="560" w:lineRule="exact"/>
        <w:ind w:left="209" w:leftChars="95" w:firstLine="550" w:firstLineChars="2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Cs w:val="21"/>
          <w:lang w:val="zh-CN"/>
        </w:rPr>
        <w:t>（2）地区生产总值、规模以上工业增加值及其分类项目增长速度按可比价计算，为实际增长速度；其他指标除特殊说明外，按现价计算，为名义增长速度。</w:t>
      </w:r>
    </w:p>
    <w:p>
      <w:pPr>
        <w:spacing w:after="0" w:line="720" w:lineRule="auto"/>
        <w:rPr>
          <w:rFonts w:hint="default" w:ascii="Times New Roman" w:hAnsi="Times New Roman" w:eastAsia="仿宋_GB2312" w:cs="Times New Roman"/>
          <w:color w:val="auto"/>
          <w:sz w:val="32"/>
          <w:szCs w:val="32"/>
        </w:rPr>
      </w:pPr>
    </w:p>
    <w:p>
      <w:pPr>
        <w:spacing w:after="0" w:line="720" w:lineRule="auto"/>
        <w:rPr>
          <w:rFonts w:hint="default" w:ascii="Times New Roman" w:hAnsi="Times New Roman" w:eastAsia="仿宋_GB2312" w:cs="Times New Roman"/>
          <w:color w:val="auto"/>
          <w:sz w:val="32"/>
          <w:szCs w:val="32"/>
        </w:rPr>
      </w:pPr>
    </w:p>
    <w:sectPr>
      <w:footerReference r:id="rId5" w:type="default"/>
      <w:pgSz w:w="11906" w:h="16838"/>
      <w:pgMar w:top="1440" w:right="1800" w:bottom="1440" w:left="180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805319"/>
      <w:docPartObj>
        <w:docPartGallery w:val="autotext"/>
      </w:docPartObj>
    </w:sdtPr>
    <w:sdtContent>
      <w:p>
        <w:pPr>
          <w:pStyle w:val="5"/>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17</w:t>
        </w:r>
        <w:r>
          <w:rPr>
            <w:rFonts w:ascii="Times New Roman" w:hAnsi="Times New Roman" w:cs="Times New Roman"/>
          </w:rP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10366"/>
    <w:multiLevelType w:val="multilevel"/>
    <w:tmpl w:val="01610366"/>
    <w:lvl w:ilvl="0" w:tentative="0">
      <w:start w:val="4"/>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000473"/>
    <w:rsid w:val="00006C92"/>
    <w:rsid w:val="00025162"/>
    <w:rsid w:val="00026404"/>
    <w:rsid w:val="00032CB9"/>
    <w:rsid w:val="000357C1"/>
    <w:rsid w:val="0003614A"/>
    <w:rsid w:val="00051729"/>
    <w:rsid w:val="00056CF0"/>
    <w:rsid w:val="00064CF0"/>
    <w:rsid w:val="0006719F"/>
    <w:rsid w:val="0006781C"/>
    <w:rsid w:val="00072FD9"/>
    <w:rsid w:val="00075A5B"/>
    <w:rsid w:val="00090DB1"/>
    <w:rsid w:val="000929D1"/>
    <w:rsid w:val="000A4424"/>
    <w:rsid w:val="000B740C"/>
    <w:rsid w:val="000C0EA8"/>
    <w:rsid w:val="000D551B"/>
    <w:rsid w:val="000D581D"/>
    <w:rsid w:val="000D7A88"/>
    <w:rsid w:val="000E07B5"/>
    <w:rsid w:val="000E12AA"/>
    <w:rsid w:val="000E277A"/>
    <w:rsid w:val="000E45E0"/>
    <w:rsid w:val="000E5D71"/>
    <w:rsid w:val="000F2E75"/>
    <w:rsid w:val="000F4BB7"/>
    <w:rsid w:val="00103A48"/>
    <w:rsid w:val="00107681"/>
    <w:rsid w:val="001128A9"/>
    <w:rsid w:val="001128DA"/>
    <w:rsid w:val="00114DD4"/>
    <w:rsid w:val="00115690"/>
    <w:rsid w:val="00116356"/>
    <w:rsid w:val="00121230"/>
    <w:rsid w:val="001239DD"/>
    <w:rsid w:val="0013140F"/>
    <w:rsid w:val="00134974"/>
    <w:rsid w:val="001375F9"/>
    <w:rsid w:val="00137D7D"/>
    <w:rsid w:val="001433C8"/>
    <w:rsid w:val="00143B93"/>
    <w:rsid w:val="0015227D"/>
    <w:rsid w:val="00156BD3"/>
    <w:rsid w:val="00175C0E"/>
    <w:rsid w:val="001812D9"/>
    <w:rsid w:val="001974A2"/>
    <w:rsid w:val="001A396E"/>
    <w:rsid w:val="001A5E01"/>
    <w:rsid w:val="001B1E44"/>
    <w:rsid w:val="001E25F9"/>
    <w:rsid w:val="001E35AB"/>
    <w:rsid w:val="001F03B0"/>
    <w:rsid w:val="001F07AC"/>
    <w:rsid w:val="001F12FC"/>
    <w:rsid w:val="001F2499"/>
    <w:rsid w:val="001F2E45"/>
    <w:rsid w:val="001F37CB"/>
    <w:rsid w:val="00200C77"/>
    <w:rsid w:val="00202D30"/>
    <w:rsid w:val="00204158"/>
    <w:rsid w:val="00204727"/>
    <w:rsid w:val="00204FF4"/>
    <w:rsid w:val="00205D2E"/>
    <w:rsid w:val="00223F9E"/>
    <w:rsid w:val="00224FB1"/>
    <w:rsid w:val="002332B6"/>
    <w:rsid w:val="00241B61"/>
    <w:rsid w:val="00244DF1"/>
    <w:rsid w:val="00251566"/>
    <w:rsid w:val="00254F3E"/>
    <w:rsid w:val="00256587"/>
    <w:rsid w:val="002619E8"/>
    <w:rsid w:val="00272990"/>
    <w:rsid w:val="002733E7"/>
    <w:rsid w:val="002744C7"/>
    <w:rsid w:val="00284155"/>
    <w:rsid w:val="0028531A"/>
    <w:rsid w:val="0028551B"/>
    <w:rsid w:val="00292BA5"/>
    <w:rsid w:val="002A0263"/>
    <w:rsid w:val="002A0E32"/>
    <w:rsid w:val="002A3FF3"/>
    <w:rsid w:val="002A575B"/>
    <w:rsid w:val="002A754D"/>
    <w:rsid w:val="002B3BCC"/>
    <w:rsid w:val="002B438F"/>
    <w:rsid w:val="002C04A7"/>
    <w:rsid w:val="002C4924"/>
    <w:rsid w:val="002C4B6E"/>
    <w:rsid w:val="002D330A"/>
    <w:rsid w:val="002D7B1A"/>
    <w:rsid w:val="002F2774"/>
    <w:rsid w:val="0030757D"/>
    <w:rsid w:val="00311E93"/>
    <w:rsid w:val="00314485"/>
    <w:rsid w:val="00315508"/>
    <w:rsid w:val="00323B43"/>
    <w:rsid w:val="0032484F"/>
    <w:rsid w:val="00324BD2"/>
    <w:rsid w:val="003268FC"/>
    <w:rsid w:val="00327579"/>
    <w:rsid w:val="003318F1"/>
    <w:rsid w:val="00342954"/>
    <w:rsid w:val="00353913"/>
    <w:rsid w:val="003549E6"/>
    <w:rsid w:val="003622D3"/>
    <w:rsid w:val="00367AED"/>
    <w:rsid w:val="003740CB"/>
    <w:rsid w:val="00377FC5"/>
    <w:rsid w:val="00386927"/>
    <w:rsid w:val="003873F3"/>
    <w:rsid w:val="003A06FD"/>
    <w:rsid w:val="003B0258"/>
    <w:rsid w:val="003B12C0"/>
    <w:rsid w:val="003B7D5A"/>
    <w:rsid w:val="003C3F12"/>
    <w:rsid w:val="003D37D8"/>
    <w:rsid w:val="003D5B03"/>
    <w:rsid w:val="003E06DB"/>
    <w:rsid w:val="003E1D1B"/>
    <w:rsid w:val="003E2325"/>
    <w:rsid w:val="003E60D1"/>
    <w:rsid w:val="003E7801"/>
    <w:rsid w:val="003F0939"/>
    <w:rsid w:val="003F2814"/>
    <w:rsid w:val="003F2C9C"/>
    <w:rsid w:val="003F37E6"/>
    <w:rsid w:val="00403987"/>
    <w:rsid w:val="004102A7"/>
    <w:rsid w:val="00417AB3"/>
    <w:rsid w:val="00422421"/>
    <w:rsid w:val="0042307E"/>
    <w:rsid w:val="00426133"/>
    <w:rsid w:val="00427F3B"/>
    <w:rsid w:val="00430CBE"/>
    <w:rsid w:val="0043322D"/>
    <w:rsid w:val="00433365"/>
    <w:rsid w:val="004358AB"/>
    <w:rsid w:val="00441E56"/>
    <w:rsid w:val="00443278"/>
    <w:rsid w:val="00444A6E"/>
    <w:rsid w:val="00455E96"/>
    <w:rsid w:val="00457B6F"/>
    <w:rsid w:val="004612A5"/>
    <w:rsid w:val="00475098"/>
    <w:rsid w:val="004809A7"/>
    <w:rsid w:val="004A124E"/>
    <w:rsid w:val="004B1CEB"/>
    <w:rsid w:val="004C0EFA"/>
    <w:rsid w:val="004C662C"/>
    <w:rsid w:val="004D50EE"/>
    <w:rsid w:val="004E3C0C"/>
    <w:rsid w:val="004F4476"/>
    <w:rsid w:val="004F53F3"/>
    <w:rsid w:val="004F6E14"/>
    <w:rsid w:val="0050215A"/>
    <w:rsid w:val="00516AF4"/>
    <w:rsid w:val="00520B5A"/>
    <w:rsid w:val="00534207"/>
    <w:rsid w:val="00540384"/>
    <w:rsid w:val="00543E77"/>
    <w:rsid w:val="0057122A"/>
    <w:rsid w:val="00574094"/>
    <w:rsid w:val="00576219"/>
    <w:rsid w:val="00577483"/>
    <w:rsid w:val="0059262B"/>
    <w:rsid w:val="00592DFB"/>
    <w:rsid w:val="0059307A"/>
    <w:rsid w:val="005A3327"/>
    <w:rsid w:val="005A506C"/>
    <w:rsid w:val="005A543A"/>
    <w:rsid w:val="005A5F85"/>
    <w:rsid w:val="005B069F"/>
    <w:rsid w:val="005B292F"/>
    <w:rsid w:val="005B4180"/>
    <w:rsid w:val="005D219D"/>
    <w:rsid w:val="005D4B8D"/>
    <w:rsid w:val="005F0994"/>
    <w:rsid w:val="005F2D00"/>
    <w:rsid w:val="00601ADC"/>
    <w:rsid w:val="0061037B"/>
    <w:rsid w:val="006163A4"/>
    <w:rsid w:val="0062049D"/>
    <w:rsid w:val="006372E2"/>
    <w:rsid w:val="006439EF"/>
    <w:rsid w:val="006548CA"/>
    <w:rsid w:val="006612F7"/>
    <w:rsid w:val="00662519"/>
    <w:rsid w:val="00665E50"/>
    <w:rsid w:val="006673EC"/>
    <w:rsid w:val="0068055D"/>
    <w:rsid w:val="006813CA"/>
    <w:rsid w:val="00681E45"/>
    <w:rsid w:val="00684319"/>
    <w:rsid w:val="00691728"/>
    <w:rsid w:val="00693841"/>
    <w:rsid w:val="0069406D"/>
    <w:rsid w:val="00695AD7"/>
    <w:rsid w:val="006A140B"/>
    <w:rsid w:val="006A3DE1"/>
    <w:rsid w:val="006B42F3"/>
    <w:rsid w:val="006B5DC1"/>
    <w:rsid w:val="006C386D"/>
    <w:rsid w:val="006D6549"/>
    <w:rsid w:val="007001A7"/>
    <w:rsid w:val="00700E60"/>
    <w:rsid w:val="0071069E"/>
    <w:rsid w:val="00710E78"/>
    <w:rsid w:val="0071213C"/>
    <w:rsid w:val="00712F00"/>
    <w:rsid w:val="0071614A"/>
    <w:rsid w:val="00720F5D"/>
    <w:rsid w:val="0072540A"/>
    <w:rsid w:val="007262D8"/>
    <w:rsid w:val="007313A9"/>
    <w:rsid w:val="00732605"/>
    <w:rsid w:val="007330BC"/>
    <w:rsid w:val="00733246"/>
    <w:rsid w:val="00750FDB"/>
    <w:rsid w:val="00763777"/>
    <w:rsid w:val="00772B60"/>
    <w:rsid w:val="00775FE5"/>
    <w:rsid w:val="00787B96"/>
    <w:rsid w:val="0079182E"/>
    <w:rsid w:val="007A46A9"/>
    <w:rsid w:val="007A6F63"/>
    <w:rsid w:val="007B378B"/>
    <w:rsid w:val="007B57B5"/>
    <w:rsid w:val="007C14A2"/>
    <w:rsid w:val="007C257A"/>
    <w:rsid w:val="007D59A7"/>
    <w:rsid w:val="007D7F44"/>
    <w:rsid w:val="007E2A15"/>
    <w:rsid w:val="007F4352"/>
    <w:rsid w:val="00805B25"/>
    <w:rsid w:val="00807733"/>
    <w:rsid w:val="00812C9A"/>
    <w:rsid w:val="008138F3"/>
    <w:rsid w:val="00825033"/>
    <w:rsid w:val="008425E0"/>
    <w:rsid w:val="00844C37"/>
    <w:rsid w:val="008603FE"/>
    <w:rsid w:val="00864DED"/>
    <w:rsid w:val="00876D12"/>
    <w:rsid w:val="0088013A"/>
    <w:rsid w:val="00887AC1"/>
    <w:rsid w:val="0089067C"/>
    <w:rsid w:val="0089294E"/>
    <w:rsid w:val="008934DF"/>
    <w:rsid w:val="008A0E1C"/>
    <w:rsid w:val="008A4096"/>
    <w:rsid w:val="008A4807"/>
    <w:rsid w:val="008B7726"/>
    <w:rsid w:val="008C2BB4"/>
    <w:rsid w:val="008D6477"/>
    <w:rsid w:val="008E2D6B"/>
    <w:rsid w:val="008F065C"/>
    <w:rsid w:val="008F6758"/>
    <w:rsid w:val="00905480"/>
    <w:rsid w:val="00910421"/>
    <w:rsid w:val="00910D03"/>
    <w:rsid w:val="00912847"/>
    <w:rsid w:val="0091284E"/>
    <w:rsid w:val="00913DBB"/>
    <w:rsid w:val="00917EE0"/>
    <w:rsid w:val="00931EA2"/>
    <w:rsid w:val="00934B87"/>
    <w:rsid w:val="00936AFA"/>
    <w:rsid w:val="00937B72"/>
    <w:rsid w:val="009440D7"/>
    <w:rsid w:val="0094659F"/>
    <w:rsid w:val="009525A0"/>
    <w:rsid w:val="009608E2"/>
    <w:rsid w:val="009653B5"/>
    <w:rsid w:val="00967AC2"/>
    <w:rsid w:val="009710DB"/>
    <w:rsid w:val="00977B14"/>
    <w:rsid w:val="00990AD4"/>
    <w:rsid w:val="00991AD1"/>
    <w:rsid w:val="009A0ED0"/>
    <w:rsid w:val="009A4204"/>
    <w:rsid w:val="009A5798"/>
    <w:rsid w:val="009B16AA"/>
    <w:rsid w:val="009B5D69"/>
    <w:rsid w:val="009C15CF"/>
    <w:rsid w:val="009C36DA"/>
    <w:rsid w:val="009E1364"/>
    <w:rsid w:val="009E32F0"/>
    <w:rsid w:val="009E5909"/>
    <w:rsid w:val="009F0DD8"/>
    <w:rsid w:val="00A00FB3"/>
    <w:rsid w:val="00A010BF"/>
    <w:rsid w:val="00A05282"/>
    <w:rsid w:val="00A07412"/>
    <w:rsid w:val="00A10272"/>
    <w:rsid w:val="00A12A53"/>
    <w:rsid w:val="00A25CB0"/>
    <w:rsid w:val="00A26E88"/>
    <w:rsid w:val="00A33AA9"/>
    <w:rsid w:val="00A42A68"/>
    <w:rsid w:val="00A53436"/>
    <w:rsid w:val="00A65E28"/>
    <w:rsid w:val="00A66184"/>
    <w:rsid w:val="00A66D40"/>
    <w:rsid w:val="00A731BE"/>
    <w:rsid w:val="00AA795A"/>
    <w:rsid w:val="00AB1EC0"/>
    <w:rsid w:val="00AB3E6C"/>
    <w:rsid w:val="00AB5EF9"/>
    <w:rsid w:val="00AB7A64"/>
    <w:rsid w:val="00AC237F"/>
    <w:rsid w:val="00AC41A7"/>
    <w:rsid w:val="00AC466F"/>
    <w:rsid w:val="00AD1EC5"/>
    <w:rsid w:val="00AD7EDA"/>
    <w:rsid w:val="00AE0BF9"/>
    <w:rsid w:val="00AE3934"/>
    <w:rsid w:val="00AE693B"/>
    <w:rsid w:val="00AE6D56"/>
    <w:rsid w:val="00AF1B67"/>
    <w:rsid w:val="00AF4BD1"/>
    <w:rsid w:val="00B05350"/>
    <w:rsid w:val="00B15828"/>
    <w:rsid w:val="00B2476B"/>
    <w:rsid w:val="00B3173F"/>
    <w:rsid w:val="00B32F68"/>
    <w:rsid w:val="00B36EFD"/>
    <w:rsid w:val="00B51EE3"/>
    <w:rsid w:val="00B57020"/>
    <w:rsid w:val="00B6027C"/>
    <w:rsid w:val="00B67368"/>
    <w:rsid w:val="00B7178B"/>
    <w:rsid w:val="00B763FA"/>
    <w:rsid w:val="00B80D1F"/>
    <w:rsid w:val="00B82358"/>
    <w:rsid w:val="00B8705A"/>
    <w:rsid w:val="00B935C1"/>
    <w:rsid w:val="00B954DB"/>
    <w:rsid w:val="00B960DF"/>
    <w:rsid w:val="00B97AEE"/>
    <w:rsid w:val="00BA1F07"/>
    <w:rsid w:val="00BA76D9"/>
    <w:rsid w:val="00BA7D51"/>
    <w:rsid w:val="00BB1F3E"/>
    <w:rsid w:val="00BB7AE9"/>
    <w:rsid w:val="00BC238E"/>
    <w:rsid w:val="00BD0C35"/>
    <w:rsid w:val="00BD22DE"/>
    <w:rsid w:val="00BD3843"/>
    <w:rsid w:val="00BE2910"/>
    <w:rsid w:val="00BE76AA"/>
    <w:rsid w:val="00BF0BFA"/>
    <w:rsid w:val="00C0027A"/>
    <w:rsid w:val="00C03BD2"/>
    <w:rsid w:val="00C05FE5"/>
    <w:rsid w:val="00C11035"/>
    <w:rsid w:val="00C20AA9"/>
    <w:rsid w:val="00C2106A"/>
    <w:rsid w:val="00C21ACB"/>
    <w:rsid w:val="00C23055"/>
    <w:rsid w:val="00C27AC6"/>
    <w:rsid w:val="00C31536"/>
    <w:rsid w:val="00C42FA6"/>
    <w:rsid w:val="00C4490A"/>
    <w:rsid w:val="00C61BAA"/>
    <w:rsid w:val="00C61EE1"/>
    <w:rsid w:val="00C64771"/>
    <w:rsid w:val="00C65FBD"/>
    <w:rsid w:val="00C757D3"/>
    <w:rsid w:val="00C75D27"/>
    <w:rsid w:val="00C75D7C"/>
    <w:rsid w:val="00C81ECF"/>
    <w:rsid w:val="00C842FA"/>
    <w:rsid w:val="00C847C4"/>
    <w:rsid w:val="00C85323"/>
    <w:rsid w:val="00C93ECC"/>
    <w:rsid w:val="00C96298"/>
    <w:rsid w:val="00CA6D96"/>
    <w:rsid w:val="00CB0344"/>
    <w:rsid w:val="00CC2539"/>
    <w:rsid w:val="00CD4ECA"/>
    <w:rsid w:val="00CF4E28"/>
    <w:rsid w:val="00D0091E"/>
    <w:rsid w:val="00D219B9"/>
    <w:rsid w:val="00D269ED"/>
    <w:rsid w:val="00D31D50"/>
    <w:rsid w:val="00D32D47"/>
    <w:rsid w:val="00D32F76"/>
    <w:rsid w:val="00D41FCE"/>
    <w:rsid w:val="00D727B3"/>
    <w:rsid w:val="00D75853"/>
    <w:rsid w:val="00D8483B"/>
    <w:rsid w:val="00D8496A"/>
    <w:rsid w:val="00D8516C"/>
    <w:rsid w:val="00D95719"/>
    <w:rsid w:val="00D97E33"/>
    <w:rsid w:val="00DA0744"/>
    <w:rsid w:val="00DC1067"/>
    <w:rsid w:val="00DC5B2B"/>
    <w:rsid w:val="00DC686D"/>
    <w:rsid w:val="00DD0D42"/>
    <w:rsid w:val="00DD4926"/>
    <w:rsid w:val="00DD592D"/>
    <w:rsid w:val="00DD62A3"/>
    <w:rsid w:val="00DD6DEF"/>
    <w:rsid w:val="00DF6070"/>
    <w:rsid w:val="00DF7140"/>
    <w:rsid w:val="00E045C3"/>
    <w:rsid w:val="00E04681"/>
    <w:rsid w:val="00E15CBF"/>
    <w:rsid w:val="00E20E99"/>
    <w:rsid w:val="00E26F11"/>
    <w:rsid w:val="00E344DC"/>
    <w:rsid w:val="00E37481"/>
    <w:rsid w:val="00E47361"/>
    <w:rsid w:val="00E56B5A"/>
    <w:rsid w:val="00E62218"/>
    <w:rsid w:val="00E6545A"/>
    <w:rsid w:val="00E8298D"/>
    <w:rsid w:val="00E947F9"/>
    <w:rsid w:val="00EA3FD4"/>
    <w:rsid w:val="00EB0B9E"/>
    <w:rsid w:val="00EB18B5"/>
    <w:rsid w:val="00ED052F"/>
    <w:rsid w:val="00EE245D"/>
    <w:rsid w:val="00EE5D20"/>
    <w:rsid w:val="00EE5D6B"/>
    <w:rsid w:val="00EF346F"/>
    <w:rsid w:val="00EF75CD"/>
    <w:rsid w:val="00F066E4"/>
    <w:rsid w:val="00F16FB2"/>
    <w:rsid w:val="00F2192C"/>
    <w:rsid w:val="00F21ED2"/>
    <w:rsid w:val="00F22DC4"/>
    <w:rsid w:val="00F255E7"/>
    <w:rsid w:val="00F27A9B"/>
    <w:rsid w:val="00F3225E"/>
    <w:rsid w:val="00F41271"/>
    <w:rsid w:val="00F516D4"/>
    <w:rsid w:val="00F602AA"/>
    <w:rsid w:val="00F70A6B"/>
    <w:rsid w:val="00F76B1A"/>
    <w:rsid w:val="00F76C2C"/>
    <w:rsid w:val="00F854A1"/>
    <w:rsid w:val="00F86B2B"/>
    <w:rsid w:val="00F91E51"/>
    <w:rsid w:val="00F94E21"/>
    <w:rsid w:val="00F96ED3"/>
    <w:rsid w:val="00FA14EF"/>
    <w:rsid w:val="00FA2E80"/>
    <w:rsid w:val="00FA36EC"/>
    <w:rsid w:val="00FB2EB3"/>
    <w:rsid w:val="00FB5238"/>
    <w:rsid w:val="00FC25F9"/>
    <w:rsid w:val="00FD043F"/>
    <w:rsid w:val="00FD775B"/>
    <w:rsid w:val="00FD7A74"/>
    <w:rsid w:val="00FE089C"/>
    <w:rsid w:val="00FE5EF7"/>
    <w:rsid w:val="00FF3AAC"/>
    <w:rsid w:val="011A24F4"/>
    <w:rsid w:val="01227D26"/>
    <w:rsid w:val="013E4434"/>
    <w:rsid w:val="014F6641"/>
    <w:rsid w:val="01545A05"/>
    <w:rsid w:val="01735F55"/>
    <w:rsid w:val="01A4698D"/>
    <w:rsid w:val="01BA1BA5"/>
    <w:rsid w:val="01ED4312"/>
    <w:rsid w:val="01EE19B6"/>
    <w:rsid w:val="01FD42EF"/>
    <w:rsid w:val="020967F0"/>
    <w:rsid w:val="02355837"/>
    <w:rsid w:val="02533F0F"/>
    <w:rsid w:val="02581525"/>
    <w:rsid w:val="025F4662"/>
    <w:rsid w:val="026826BF"/>
    <w:rsid w:val="027469F5"/>
    <w:rsid w:val="027520D7"/>
    <w:rsid w:val="02777BFD"/>
    <w:rsid w:val="02866093"/>
    <w:rsid w:val="02A46519"/>
    <w:rsid w:val="02A604E3"/>
    <w:rsid w:val="02AE2B8D"/>
    <w:rsid w:val="02C95F7F"/>
    <w:rsid w:val="02EB3F13"/>
    <w:rsid w:val="02FC0103"/>
    <w:rsid w:val="032A1114"/>
    <w:rsid w:val="032F04D8"/>
    <w:rsid w:val="033B50CF"/>
    <w:rsid w:val="036119A3"/>
    <w:rsid w:val="03A04F32"/>
    <w:rsid w:val="03AC0196"/>
    <w:rsid w:val="03B804CE"/>
    <w:rsid w:val="03B94246"/>
    <w:rsid w:val="03C055D4"/>
    <w:rsid w:val="03D33559"/>
    <w:rsid w:val="04374CED"/>
    <w:rsid w:val="043833BC"/>
    <w:rsid w:val="04461020"/>
    <w:rsid w:val="046E3282"/>
    <w:rsid w:val="04714B20"/>
    <w:rsid w:val="049820AD"/>
    <w:rsid w:val="049A5E25"/>
    <w:rsid w:val="04A70542"/>
    <w:rsid w:val="04BD14C3"/>
    <w:rsid w:val="04D550AF"/>
    <w:rsid w:val="04D5688A"/>
    <w:rsid w:val="05092FAB"/>
    <w:rsid w:val="051060E7"/>
    <w:rsid w:val="0519537F"/>
    <w:rsid w:val="051E25B2"/>
    <w:rsid w:val="052851DF"/>
    <w:rsid w:val="053C6EDC"/>
    <w:rsid w:val="055C132D"/>
    <w:rsid w:val="05687A1E"/>
    <w:rsid w:val="05703C68"/>
    <w:rsid w:val="05790131"/>
    <w:rsid w:val="05A57242"/>
    <w:rsid w:val="05CD1BC8"/>
    <w:rsid w:val="05D473D2"/>
    <w:rsid w:val="05DB66F5"/>
    <w:rsid w:val="05DE61E6"/>
    <w:rsid w:val="05FB6D97"/>
    <w:rsid w:val="06035C4C"/>
    <w:rsid w:val="061E65E2"/>
    <w:rsid w:val="0636392C"/>
    <w:rsid w:val="06383B48"/>
    <w:rsid w:val="06473D8B"/>
    <w:rsid w:val="064D59E4"/>
    <w:rsid w:val="0661309E"/>
    <w:rsid w:val="067D31FD"/>
    <w:rsid w:val="069A3EBB"/>
    <w:rsid w:val="069F5975"/>
    <w:rsid w:val="06C47189"/>
    <w:rsid w:val="06C76C7A"/>
    <w:rsid w:val="06DD649D"/>
    <w:rsid w:val="06DE46EF"/>
    <w:rsid w:val="06E11AE9"/>
    <w:rsid w:val="07100621"/>
    <w:rsid w:val="07267E44"/>
    <w:rsid w:val="074B78AB"/>
    <w:rsid w:val="075B5D40"/>
    <w:rsid w:val="075E79A7"/>
    <w:rsid w:val="0767768E"/>
    <w:rsid w:val="07781D8F"/>
    <w:rsid w:val="0797489E"/>
    <w:rsid w:val="07A0485F"/>
    <w:rsid w:val="07B11776"/>
    <w:rsid w:val="07CF4038"/>
    <w:rsid w:val="07DB26EC"/>
    <w:rsid w:val="081303C8"/>
    <w:rsid w:val="081E3237"/>
    <w:rsid w:val="087759FD"/>
    <w:rsid w:val="089577C4"/>
    <w:rsid w:val="08E32BEA"/>
    <w:rsid w:val="08EB7C19"/>
    <w:rsid w:val="09265ED9"/>
    <w:rsid w:val="0937305E"/>
    <w:rsid w:val="094620D8"/>
    <w:rsid w:val="09556D4B"/>
    <w:rsid w:val="09B71227"/>
    <w:rsid w:val="09BE25B6"/>
    <w:rsid w:val="09D678FF"/>
    <w:rsid w:val="0A157CFC"/>
    <w:rsid w:val="0A261F09"/>
    <w:rsid w:val="0A326B00"/>
    <w:rsid w:val="0A3463D4"/>
    <w:rsid w:val="0A4F1460"/>
    <w:rsid w:val="0A8235E3"/>
    <w:rsid w:val="0AA01CBB"/>
    <w:rsid w:val="0AA417AC"/>
    <w:rsid w:val="0AA7129C"/>
    <w:rsid w:val="0AB94B2B"/>
    <w:rsid w:val="0ABA1A88"/>
    <w:rsid w:val="0B2428ED"/>
    <w:rsid w:val="0B24469B"/>
    <w:rsid w:val="0B290D21"/>
    <w:rsid w:val="0B301291"/>
    <w:rsid w:val="0B3768D7"/>
    <w:rsid w:val="0B3C6DA8"/>
    <w:rsid w:val="0B5048AD"/>
    <w:rsid w:val="0B510984"/>
    <w:rsid w:val="0B550CF8"/>
    <w:rsid w:val="0B5F1B77"/>
    <w:rsid w:val="0B9C31E4"/>
    <w:rsid w:val="0BB7042D"/>
    <w:rsid w:val="0BC32105"/>
    <w:rsid w:val="0BCD6AE0"/>
    <w:rsid w:val="0BF027CF"/>
    <w:rsid w:val="0BF73B5D"/>
    <w:rsid w:val="0C0A28A6"/>
    <w:rsid w:val="0C0F534B"/>
    <w:rsid w:val="0C1F4E62"/>
    <w:rsid w:val="0C3721AC"/>
    <w:rsid w:val="0C474AE5"/>
    <w:rsid w:val="0C7565A8"/>
    <w:rsid w:val="0C88094A"/>
    <w:rsid w:val="0C886EAB"/>
    <w:rsid w:val="0C9870EE"/>
    <w:rsid w:val="0CA737D5"/>
    <w:rsid w:val="0CA84B3A"/>
    <w:rsid w:val="0CB33F28"/>
    <w:rsid w:val="0CB97065"/>
    <w:rsid w:val="0CC53C5B"/>
    <w:rsid w:val="0CD36378"/>
    <w:rsid w:val="0CD8573D"/>
    <w:rsid w:val="0CEA5470"/>
    <w:rsid w:val="0CEC11E8"/>
    <w:rsid w:val="0D042B2D"/>
    <w:rsid w:val="0D076022"/>
    <w:rsid w:val="0D084CFA"/>
    <w:rsid w:val="0D354EFD"/>
    <w:rsid w:val="0D646FD0"/>
    <w:rsid w:val="0D8458C4"/>
    <w:rsid w:val="0D8A0DC9"/>
    <w:rsid w:val="0D8E229F"/>
    <w:rsid w:val="0DF30354"/>
    <w:rsid w:val="0DFE5677"/>
    <w:rsid w:val="0E0407B3"/>
    <w:rsid w:val="0E09195A"/>
    <w:rsid w:val="0E172295"/>
    <w:rsid w:val="0E721BC1"/>
    <w:rsid w:val="0E782A66"/>
    <w:rsid w:val="0EA84FF4"/>
    <w:rsid w:val="0EAA425E"/>
    <w:rsid w:val="0EAF071F"/>
    <w:rsid w:val="0ED32660"/>
    <w:rsid w:val="0EE25B8D"/>
    <w:rsid w:val="0EEA1757"/>
    <w:rsid w:val="0EEC54CF"/>
    <w:rsid w:val="0F091448"/>
    <w:rsid w:val="0F286A98"/>
    <w:rsid w:val="0F334EAC"/>
    <w:rsid w:val="0F3D21CF"/>
    <w:rsid w:val="0F524584"/>
    <w:rsid w:val="0F7756E1"/>
    <w:rsid w:val="0F7A0D2D"/>
    <w:rsid w:val="0FE8038D"/>
    <w:rsid w:val="10067FAB"/>
    <w:rsid w:val="101D6766"/>
    <w:rsid w:val="102B21FA"/>
    <w:rsid w:val="103669CA"/>
    <w:rsid w:val="107057B6"/>
    <w:rsid w:val="10A971AF"/>
    <w:rsid w:val="10BE733F"/>
    <w:rsid w:val="10D61FB9"/>
    <w:rsid w:val="10DE709A"/>
    <w:rsid w:val="10E36DA6"/>
    <w:rsid w:val="10F115D3"/>
    <w:rsid w:val="10F2640D"/>
    <w:rsid w:val="110E3C53"/>
    <w:rsid w:val="111331E7"/>
    <w:rsid w:val="11230F50"/>
    <w:rsid w:val="112E1DCF"/>
    <w:rsid w:val="11360C84"/>
    <w:rsid w:val="11472E91"/>
    <w:rsid w:val="116C0B49"/>
    <w:rsid w:val="119C142F"/>
    <w:rsid w:val="11BB562D"/>
    <w:rsid w:val="11BE691E"/>
    <w:rsid w:val="11C10E95"/>
    <w:rsid w:val="11C269BB"/>
    <w:rsid w:val="11D72467"/>
    <w:rsid w:val="11D87F8D"/>
    <w:rsid w:val="11E701D0"/>
    <w:rsid w:val="11F6163F"/>
    <w:rsid w:val="12483364"/>
    <w:rsid w:val="12517F1B"/>
    <w:rsid w:val="1254758B"/>
    <w:rsid w:val="12940283"/>
    <w:rsid w:val="1297204D"/>
    <w:rsid w:val="12AF6F40"/>
    <w:rsid w:val="12CD5618"/>
    <w:rsid w:val="12E36BE9"/>
    <w:rsid w:val="132F62D2"/>
    <w:rsid w:val="134A4EBA"/>
    <w:rsid w:val="134C478E"/>
    <w:rsid w:val="13596EAB"/>
    <w:rsid w:val="136E2814"/>
    <w:rsid w:val="13893C35"/>
    <w:rsid w:val="13907E31"/>
    <w:rsid w:val="13A82464"/>
    <w:rsid w:val="13D749A0"/>
    <w:rsid w:val="13EB3FA7"/>
    <w:rsid w:val="13F511D1"/>
    <w:rsid w:val="142474B9"/>
    <w:rsid w:val="142E20E6"/>
    <w:rsid w:val="146A14F7"/>
    <w:rsid w:val="14975EDD"/>
    <w:rsid w:val="14A35840"/>
    <w:rsid w:val="14DE573A"/>
    <w:rsid w:val="151632A6"/>
    <w:rsid w:val="15175270"/>
    <w:rsid w:val="151872A2"/>
    <w:rsid w:val="15227E9D"/>
    <w:rsid w:val="1524655E"/>
    <w:rsid w:val="152B4878"/>
    <w:rsid w:val="154C316C"/>
    <w:rsid w:val="154F0566"/>
    <w:rsid w:val="1563059D"/>
    <w:rsid w:val="15826B8D"/>
    <w:rsid w:val="159816EB"/>
    <w:rsid w:val="15B12FCF"/>
    <w:rsid w:val="15C2342E"/>
    <w:rsid w:val="15D12640"/>
    <w:rsid w:val="15D81C02"/>
    <w:rsid w:val="15FC33A8"/>
    <w:rsid w:val="162278E8"/>
    <w:rsid w:val="16331C36"/>
    <w:rsid w:val="16726C02"/>
    <w:rsid w:val="16730284"/>
    <w:rsid w:val="168626AD"/>
    <w:rsid w:val="169C5A2D"/>
    <w:rsid w:val="16DB2B04"/>
    <w:rsid w:val="16E82A20"/>
    <w:rsid w:val="17067369"/>
    <w:rsid w:val="170A508C"/>
    <w:rsid w:val="172A05D3"/>
    <w:rsid w:val="17626C76"/>
    <w:rsid w:val="176D58E3"/>
    <w:rsid w:val="178F776E"/>
    <w:rsid w:val="17EF3DF3"/>
    <w:rsid w:val="18095344"/>
    <w:rsid w:val="1816180F"/>
    <w:rsid w:val="18502F73"/>
    <w:rsid w:val="1869193F"/>
    <w:rsid w:val="18770500"/>
    <w:rsid w:val="18B51DF5"/>
    <w:rsid w:val="18E63059"/>
    <w:rsid w:val="18FA6A3B"/>
    <w:rsid w:val="18FD3358"/>
    <w:rsid w:val="19120228"/>
    <w:rsid w:val="191D6E46"/>
    <w:rsid w:val="192B3098"/>
    <w:rsid w:val="19380E72"/>
    <w:rsid w:val="19410E12"/>
    <w:rsid w:val="19467ED2"/>
    <w:rsid w:val="19996254"/>
    <w:rsid w:val="19A5109C"/>
    <w:rsid w:val="19B209E9"/>
    <w:rsid w:val="19CE05F3"/>
    <w:rsid w:val="19F31E08"/>
    <w:rsid w:val="19FE255B"/>
    <w:rsid w:val="1A0652FB"/>
    <w:rsid w:val="1A1F2BFD"/>
    <w:rsid w:val="1A450189"/>
    <w:rsid w:val="1A501008"/>
    <w:rsid w:val="1A6C1BBA"/>
    <w:rsid w:val="1A8A3DEE"/>
    <w:rsid w:val="1AB772D9"/>
    <w:rsid w:val="1AEB0D31"/>
    <w:rsid w:val="1B416BA3"/>
    <w:rsid w:val="1B4D72F6"/>
    <w:rsid w:val="1BA14DCD"/>
    <w:rsid w:val="1BEC6B0F"/>
    <w:rsid w:val="1BF400B9"/>
    <w:rsid w:val="1C026332"/>
    <w:rsid w:val="1C146065"/>
    <w:rsid w:val="1C1E6EE4"/>
    <w:rsid w:val="1C454471"/>
    <w:rsid w:val="1C672639"/>
    <w:rsid w:val="1C7865F4"/>
    <w:rsid w:val="1CA53161"/>
    <w:rsid w:val="1CE41EDC"/>
    <w:rsid w:val="1CED1726"/>
    <w:rsid w:val="1D0205B4"/>
    <w:rsid w:val="1D036806"/>
    <w:rsid w:val="1D24677C"/>
    <w:rsid w:val="1D6923E1"/>
    <w:rsid w:val="1D734062"/>
    <w:rsid w:val="1DB16262"/>
    <w:rsid w:val="1DBE44DB"/>
    <w:rsid w:val="1DC67833"/>
    <w:rsid w:val="1DE5098C"/>
    <w:rsid w:val="1DFD14A7"/>
    <w:rsid w:val="1DFE6FCD"/>
    <w:rsid w:val="1E033F0E"/>
    <w:rsid w:val="1E562965"/>
    <w:rsid w:val="1E62130A"/>
    <w:rsid w:val="1E6A4663"/>
    <w:rsid w:val="1E71154D"/>
    <w:rsid w:val="1EA062D6"/>
    <w:rsid w:val="1EAC07D7"/>
    <w:rsid w:val="1EC41FC5"/>
    <w:rsid w:val="1ED61CF8"/>
    <w:rsid w:val="1ED6275E"/>
    <w:rsid w:val="1EE2069D"/>
    <w:rsid w:val="1F0760DA"/>
    <w:rsid w:val="1F34569E"/>
    <w:rsid w:val="1F520CB4"/>
    <w:rsid w:val="1F533349"/>
    <w:rsid w:val="1F5A6485"/>
    <w:rsid w:val="1F6115C2"/>
    <w:rsid w:val="1FE36701"/>
    <w:rsid w:val="20020FF7"/>
    <w:rsid w:val="2020147D"/>
    <w:rsid w:val="202508DE"/>
    <w:rsid w:val="205C7A3A"/>
    <w:rsid w:val="2080016D"/>
    <w:rsid w:val="20971AA8"/>
    <w:rsid w:val="209B0B03"/>
    <w:rsid w:val="20A025BE"/>
    <w:rsid w:val="20AA51EA"/>
    <w:rsid w:val="20BE2A44"/>
    <w:rsid w:val="20F52A61"/>
    <w:rsid w:val="21134B3E"/>
    <w:rsid w:val="212E5E1B"/>
    <w:rsid w:val="215650A2"/>
    <w:rsid w:val="216C24A0"/>
    <w:rsid w:val="219B6A98"/>
    <w:rsid w:val="219C520C"/>
    <w:rsid w:val="21B300CF"/>
    <w:rsid w:val="21E40288"/>
    <w:rsid w:val="22286F53"/>
    <w:rsid w:val="224376A4"/>
    <w:rsid w:val="224D22D1"/>
    <w:rsid w:val="22543660"/>
    <w:rsid w:val="22576CAC"/>
    <w:rsid w:val="227635D6"/>
    <w:rsid w:val="227A732E"/>
    <w:rsid w:val="22876985"/>
    <w:rsid w:val="229E0D7F"/>
    <w:rsid w:val="22BB36DF"/>
    <w:rsid w:val="22BD2FB3"/>
    <w:rsid w:val="22C32593"/>
    <w:rsid w:val="22CA1B74"/>
    <w:rsid w:val="22D16A5E"/>
    <w:rsid w:val="22E5250A"/>
    <w:rsid w:val="22EE5862"/>
    <w:rsid w:val="23005595"/>
    <w:rsid w:val="231C7BCA"/>
    <w:rsid w:val="23543D6D"/>
    <w:rsid w:val="2369313B"/>
    <w:rsid w:val="23BB335A"/>
    <w:rsid w:val="23CB2115"/>
    <w:rsid w:val="23EB2FAD"/>
    <w:rsid w:val="24042E63"/>
    <w:rsid w:val="240B2444"/>
    <w:rsid w:val="240D1D18"/>
    <w:rsid w:val="242D4168"/>
    <w:rsid w:val="242F6132"/>
    <w:rsid w:val="245C3DE9"/>
    <w:rsid w:val="246D27B7"/>
    <w:rsid w:val="246E3757"/>
    <w:rsid w:val="249935AC"/>
    <w:rsid w:val="24B65F0C"/>
    <w:rsid w:val="24E011DB"/>
    <w:rsid w:val="24F271AB"/>
    <w:rsid w:val="24FB1D1B"/>
    <w:rsid w:val="25145D5F"/>
    <w:rsid w:val="25152916"/>
    <w:rsid w:val="254554E2"/>
    <w:rsid w:val="2560231B"/>
    <w:rsid w:val="2561056D"/>
    <w:rsid w:val="256516E0"/>
    <w:rsid w:val="25665B84"/>
    <w:rsid w:val="258E50DA"/>
    <w:rsid w:val="259124D5"/>
    <w:rsid w:val="2593624D"/>
    <w:rsid w:val="25987D07"/>
    <w:rsid w:val="25AC730F"/>
    <w:rsid w:val="25B032A3"/>
    <w:rsid w:val="25BA5ED0"/>
    <w:rsid w:val="25C97EC1"/>
    <w:rsid w:val="25D557B2"/>
    <w:rsid w:val="25FE211B"/>
    <w:rsid w:val="2604539D"/>
    <w:rsid w:val="2661459D"/>
    <w:rsid w:val="268A58A2"/>
    <w:rsid w:val="26984729"/>
    <w:rsid w:val="26AF70B6"/>
    <w:rsid w:val="26FE003E"/>
    <w:rsid w:val="26FE3B9A"/>
    <w:rsid w:val="274137F2"/>
    <w:rsid w:val="274F135C"/>
    <w:rsid w:val="277125BE"/>
    <w:rsid w:val="27914A0E"/>
    <w:rsid w:val="279B3AD4"/>
    <w:rsid w:val="27A504B9"/>
    <w:rsid w:val="27A6670B"/>
    <w:rsid w:val="27C9064C"/>
    <w:rsid w:val="27D25752"/>
    <w:rsid w:val="27D767A4"/>
    <w:rsid w:val="282B6C11"/>
    <w:rsid w:val="283F090E"/>
    <w:rsid w:val="2868690A"/>
    <w:rsid w:val="288C6AD8"/>
    <w:rsid w:val="289F2500"/>
    <w:rsid w:val="28A71FD6"/>
    <w:rsid w:val="28C17575"/>
    <w:rsid w:val="28CF4C5E"/>
    <w:rsid w:val="28E82D54"/>
    <w:rsid w:val="28F60FCD"/>
    <w:rsid w:val="290B259E"/>
    <w:rsid w:val="2917171A"/>
    <w:rsid w:val="29763EBB"/>
    <w:rsid w:val="2987431B"/>
    <w:rsid w:val="29A053DC"/>
    <w:rsid w:val="29A1215C"/>
    <w:rsid w:val="29A273A6"/>
    <w:rsid w:val="29AB5641"/>
    <w:rsid w:val="29BF1D06"/>
    <w:rsid w:val="29C72119"/>
    <w:rsid w:val="29EF3C6E"/>
    <w:rsid w:val="2A0140CD"/>
    <w:rsid w:val="2A1F4553"/>
    <w:rsid w:val="2A2C0A1E"/>
    <w:rsid w:val="2A68414C"/>
    <w:rsid w:val="2A73489F"/>
    <w:rsid w:val="2AB70C30"/>
    <w:rsid w:val="2AB735DE"/>
    <w:rsid w:val="2AB96756"/>
    <w:rsid w:val="2AD92954"/>
    <w:rsid w:val="2AEA2DB3"/>
    <w:rsid w:val="2AF7102C"/>
    <w:rsid w:val="2B34402E"/>
    <w:rsid w:val="2B404D1C"/>
    <w:rsid w:val="2B4A6547"/>
    <w:rsid w:val="2B522706"/>
    <w:rsid w:val="2B577D1D"/>
    <w:rsid w:val="2B632B65"/>
    <w:rsid w:val="2B6C7C6C"/>
    <w:rsid w:val="2B7E52A9"/>
    <w:rsid w:val="2B8723B0"/>
    <w:rsid w:val="2BAF7B59"/>
    <w:rsid w:val="2BB67139"/>
    <w:rsid w:val="2BB82A63"/>
    <w:rsid w:val="2BC44A74"/>
    <w:rsid w:val="2BC90C1A"/>
    <w:rsid w:val="2BD001FB"/>
    <w:rsid w:val="2BFF463C"/>
    <w:rsid w:val="2C082F84"/>
    <w:rsid w:val="2C212804"/>
    <w:rsid w:val="2C2422F5"/>
    <w:rsid w:val="2C4209CD"/>
    <w:rsid w:val="2C491D5B"/>
    <w:rsid w:val="2C712B81"/>
    <w:rsid w:val="2C972542"/>
    <w:rsid w:val="2C9E20A7"/>
    <w:rsid w:val="2CD21D51"/>
    <w:rsid w:val="2CF471CC"/>
    <w:rsid w:val="2CFC2D38"/>
    <w:rsid w:val="2D022080"/>
    <w:rsid w:val="2D104627"/>
    <w:rsid w:val="2D173C07"/>
    <w:rsid w:val="2D2F2CFF"/>
    <w:rsid w:val="2DA23BA6"/>
    <w:rsid w:val="2DC84F02"/>
    <w:rsid w:val="2DC92661"/>
    <w:rsid w:val="2DD01EDD"/>
    <w:rsid w:val="2DDD09AD"/>
    <w:rsid w:val="2DE41D3C"/>
    <w:rsid w:val="2DFA06EF"/>
    <w:rsid w:val="2E110657"/>
    <w:rsid w:val="2E276698"/>
    <w:rsid w:val="2E7A61FC"/>
    <w:rsid w:val="2E7B7120"/>
    <w:rsid w:val="2E8928E3"/>
    <w:rsid w:val="2EAE40F8"/>
    <w:rsid w:val="2ECE479A"/>
    <w:rsid w:val="2ECF360C"/>
    <w:rsid w:val="2F126434"/>
    <w:rsid w:val="2F17377A"/>
    <w:rsid w:val="2F3E547B"/>
    <w:rsid w:val="2F405FEC"/>
    <w:rsid w:val="2F4D3910"/>
    <w:rsid w:val="2F4F58DB"/>
    <w:rsid w:val="2F542EF1"/>
    <w:rsid w:val="2F6338CD"/>
    <w:rsid w:val="2F9652B7"/>
    <w:rsid w:val="2F9B467C"/>
    <w:rsid w:val="2F9E5F1A"/>
    <w:rsid w:val="2FA06136"/>
    <w:rsid w:val="2FA63021"/>
    <w:rsid w:val="2FEC4ED7"/>
    <w:rsid w:val="3002294D"/>
    <w:rsid w:val="30054FF9"/>
    <w:rsid w:val="301343BA"/>
    <w:rsid w:val="30446AC1"/>
    <w:rsid w:val="30647164"/>
    <w:rsid w:val="307355F9"/>
    <w:rsid w:val="30744ECD"/>
    <w:rsid w:val="30896BCA"/>
    <w:rsid w:val="30901D07"/>
    <w:rsid w:val="30907F59"/>
    <w:rsid w:val="30B11C7D"/>
    <w:rsid w:val="31232B7B"/>
    <w:rsid w:val="31572824"/>
    <w:rsid w:val="315D7742"/>
    <w:rsid w:val="316E7B6E"/>
    <w:rsid w:val="31887D1C"/>
    <w:rsid w:val="31975317"/>
    <w:rsid w:val="31A517E2"/>
    <w:rsid w:val="31CF685F"/>
    <w:rsid w:val="31F75DB5"/>
    <w:rsid w:val="320A7897"/>
    <w:rsid w:val="32236E28"/>
    <w:rsid w:val="32825621"/>
    <w:rsid w:val="32A221C5"/>
    <w:rsid w:val="32A23F73"/>
    <w:rsid w:val="32FC42B7"/>
    <w:rsid w:val="32FD73FC"/>
    <w:rsid w:val="32FE389F"/>
    <w:rsid w:val="3302763B"/>
    <w:rsid w:val="33955886"/>
    <w:rsid w:val="339A032E"/>
    <w:rsid w:val="33BF2903"/>
    <w:rsid w:val="33C85C5B"/>
    <w:rsid w:val="33D54762"/>
    <w:rsid w:val="33EA5BD2"/>
    <w:rsid w:val="33EB36F8"/>
    <w:rsid w:val="33FF7B8B"/>
    <w:rsid w:val="34237336"/>
    <w:rsid w:val="342A71FD"/>
    <w:rsid w:val="343A12C2"/>
    <w:rsid w:val="343E7CCC"/>
    <w:rsid w:val="346C2A8B"/>
    <w:rsid w:val="3481782D"/>
    <w:rsid w:val="34863867"/>
    <w:rsid w:val="348778C5"/>
    <w:rsid w:val="34AE4E51"/>
    <w:rsid w:val="34CE72A2"/>
    <w:rsid w:val="34D643A8"/>
    <w:rsid w:val="34E72111"/>
    <w:rsid w:val="35073BBB"/>
    <w:rsid w:val="350835E1"/>
    <w:rsid w:val="3538471B"/>
    <w:rsid w:val="353D7F83"/>
    <w:rsid w:val="3548328C"/>
    <w:rsid w:val="357C0AAC"/>
    <w:rsid w:val="358E07DF"/>
    <w:rsid w:val="35973B37"/>
    <w:rsid w:val="35B73417"/>
    <w:rsid w:val="35CB37E1"/>
    <w:rsid w:val="35CD1307"/>
    <w:rsid w:val="35CD57AB"/>
    <w:rsid w:val="35D062C5"/>
    <w:rsid w:val="35DF103A"/>
    <w:rsid w:val="360D204B"/>
    <w:rsid w:val="365555C4"/>
    <w:rsid w:val="36FA7397"/>
    <w:rsid w:val="37023232"/>
    <w:rsid w:val="37060F75"/>
    <w:rsid w:val="37117919"/>
    <w:rsid w:val="3736112E"/>
    <w:rsid w:val="373A6E70"/>
    <w:rsid w:val="37521BDE"/>
    <w:rsid w:val="3772660A"/>
    <w:rsid w:val="37735EDE"/>
    <w:rsid w:val="3784633D"/>
    <w:rsid w:val="37F012DD"/>
    <w:rsid w:val="37F54B45"/>
    <w:rsid w:val="38003C16"/>
    <w:rsid w:val="384A70AD"/>
    <w:rsid w:val="386D0B7F"/>
    <w:rsid w:val="38A04AB1"/>
    <w:rsid w:val="38B62526"/>
    <w:rsid w:val="38BD5663"/>
    <w:rsid w:val="38C22C79"/>
    <w:rsid w:val="38D351C0"/>
    <w:rsid w:val="38D429AD"/>
    <w:rsid w:val="38D806EF"/>
    <w:rsid w:val="38FD0155"/>
    <w:rsid w:val="39094CCC"/>
    <w:rsid w:val="394D7CC7"/>
    <w:rsid w:val="397228F1"/>
    <w:rsid w:val="397D1296"/>
    <w:rsid w:val="39B12CEE"/>
    <w:rsid w:val="39C26CA9"/>
    <w:rsid w:val="39CE1AF2"/>
    <w:rsid w:val="39FF3A59"/>
    <w:rsid w:val="3A12378C"/>
    <w:rsid w:val="3A2319B1"/>
    <w:rsid w:val="3A240899"/>
    <w:rsid w:val="3A40520F"/>
    <w:rsid w:val="3A4A73CA"/>
    <w:rsid w:val="3A52627F"/>
    <w:rsid w:val="3A7E65FA"/>
    <w:rsid w:val="3A813FD0"/>
    <w:rsid w:val="3A8A5A19"/>
    <w:rsid w:val="3A9503B6"/>
    <w:rsid w:val="3A9E3272"/>
    <w:rsid w:val="3ADE1CA8"/>
    <w:rsid w:val="3AF13CEA"/>
    <w:rsid w:val="3AF45588"/>
    <w:rsid w:val="3B255741"/>
    <w:rsid w:val="3B2D45F6"/>
    <w:rsid w:val="3B3616FD"/>
    <w:rsid w:val="3B3836C7"/>
    <w:rsid w:val="3B702E61"/>
    <w:rsid w:val="3B710987"/>
    <w:rsid w:val="3B8C756F"/>
    <w:rsid w:val="3B934DA1"/>
    <w:rsid w:val="3BB645EB"/>
    <w:rsid w:val="3BEE647B"/>
    <w:rsid w:val="3BF55114"/>
    <w:rsid w:val="3C0E4427"/>
    <w:rsid w:val="3C3519B4"/>
    <w:rsid w:val="3C357C06"/>
    <w:rsid w:val="3C460065"/>
    <w:rsid w:val="3C5A441A"/>
    <w:rsid w:val="3C681D8A"/>
    <w:rsid w:val="3C827518"/>
    <w:rsid w:val="3CB404E9"/>
    <w:rsid w:val="3CC66AB0"/>
    <w:rsid w:val="3CCA034E"/>
    <w:rsid w:val="3CEC308D"/>
    <w:rsid w:val="3D1A0C92"/>
    <w:rsid w:val="3D453E79"/>
    <w:rsid w:val="3D7824A0"/>
    <w:rsid w:val="3DA52B6A"/>
    <w:rsid w:val="3DB334D8"/>
    <w:rsid w:val="3DB4719A"/>
    <w:rsid w:val="3DBA6615"/>
    <w:rsid w:val="3E3826A5"/>
    <w:rsid w:val="3E7419A8"/>
    <w:rsid w:val="3EA82911"/>
    <w:rsid w:val="3EAF3CA0"/>
    <w:rsid w:val="3EB63280"/>
    <w:rsid w:val="3ECE7C0D"/>
    <w:rsid w:val="3ED100BA"/>
    <w:rsid w:val="3EE85370"/>
    <w:rsid w:val="3F122481"/>
    <w:rsid w:val="3F171845"/>
    <w:rsid w:val="3F1E4B9D"/>
    <w:rsid w:val="3F1F7353"/>
    <w:rsid w:val="3F3A6198"/>
    <w:rsid w:val="3F650802"/>
    <w:rsid w:val="3F89361E"/>
    <w:rsid w:val="3F8C5D8F"/>
    <w:rsid w:val="3F9B4224"/>
    <w:rsid w:val="3FC90D91"/>
    <w:rsid w:val="400B75FC"/>
    <w:rsid w:val="401F09B1"/>
    <w:rsid w:val="402C30CE"/>
    <w:rsid w:val="402E5098"/>
    <w:rsid w:val="402E695E"/>
    <w:rsid w:val="40375844"/>
    <w:rsid w:val="404D0F95"/>
    <w:rsid w:val="40512B35"/>
    <w:rsid w:val="405C39B3"/>
    <w:rsid w:val="405F5252"/>
    <w:rsid w:val="4076423A"/>
    <w:rsid w:val="40923879"/>
    <w:rsid w:val="409A0980"/>
    <w:rsid w:val="40A423C0"/>
    <w:rsid w:val="40AD48E9"/>
    <w:rsid w:val="40C003E6"/>
    <w:rsid w:val="40E37C31"/>
    <w:rsid w:val="40E85247"/>
    <w:rsid w:val="41151DB4"/>
    <w:rsid w:val="41230975"/>
    <w:rsid w:val="412D35A2"/>
    <w:rsid w:val="414803DC"/>
    <w:rsid w:val="416074D3"/>
    <w:rsid w:val="418D26FB"/>
    <w:rsid w:val="41943621"/>
    <w:rsid w:val="41967399"/>
    <w:rsid w:val="41970A1B"/>
    <w:rsid w:val="41B255C8"/>
    <w:rsid w:val="41C21F3C"/>
    <w:rsid w:val="41DD6D76"/>
    <w:rsid w:val="42164036"/>
    <w:rsid w:val="42293AD3"/>
    <w:rsid w:val="42402E61"/>
    <w:rsid w:val="4262727B"/>
    <w:rsid w:val="42651151"/>
    <w:rsid w:val="42707BEA"/>
    <w:rsid w:val="427F607F"/>
    <w:rsid w:val="428216CB"/>
    <w:rsid w:val="43340C18"/>
    <w:rsid w:val="434A043B"/>
    <w:rsid w:val="4357358D"/>
    <w:rsid w:val="43615785"/>
    <w:rsid w:val="43660ED1"/>
    <w:rsid w:val="438576C5"/>
    <w:rsid w:val="438C2802"/>
    <w:rsid w:val="43B65AD0"/>
    <w:rsid w:val="43E50164"/>
    <w:rsid w:val="43F14D5A"/>
    <w:rsid w:val="43FD725B"/>
    <w:rsid w:val="44054362"/>
    <w:rsid w:val="4439400C"/>
    <w:rsid w:val="44451010"/>
    <w:rsid w:val="44511355"/>
    <w:rsid w:val="44613C8E"/>
    <w:rsid w:val="44676DCB"/>
    <w:rsid w:val="447D1490"/>
    <w:rsid w:val="44817E8C"/>
    <w:rsid w:val="44971FF9"/>
    <w:rsid w:val="449C6A74"/>
    <w:rsid w:val="44A445FC"/>
    <w:rsid w:val="44AD0C81"/>
    <w:rsid w:val="44D0505E"/>
    <w:rsid w:val="44D77AAC"/>
    <w:rsid w:val="44E93C84"/>
    <w:rsid w:val="44F87A23"/>
    <w:rsid w:val="45105A95"/>
    <w:rsid w:val="45343151"/>
    <w:rsid w:val="45350C77"/>
    <w:rsid w:val="453E3FCF"/>
    <w:rsid w:val="456A6B72"/>
    <w:rsid w:val="458E46B3"/>
    <w:rsid w:val="45A222D1"/>
    <w:rsid w:val="461118F6"/>
    <w:rsid w:val="46386C71"/>
    <w:rsid w:val="4673734A"/>
    <w:rsid w:val="4691012F"/>
    <w:rsid w:val="46BB5E1D"/>
    <w:rsid w:val="47183F5C"/>
    <w:rsid w:val="47422765"/>
    <w:rsid w:val="4743112D"/>
    <w:rsid w:val="47A45C40"/>
    <w:rsid w:val="47B42327"/>
    <w:rsid w:val="47BE5579"/>
    <w:rsid w:val="47C46FB6"/>
    <w:rsid w:val="47D97FDF"/>
    <w:rsid w:val="47DC362C"/>
    <w:rsid w:val="47F22E4F"/>
    <w:rsid w:val="4800556C"/>
    <w:rsid w:val="481B05F8"/>
    <w:rsid w:val="481E3C44"/>
    <w:rsid w:val="48253225"/>
    <w:rsid w:val="48311BC9"/>
    <w:rsid w:val="48376AB4"/>
    <w:rsid w:val="48537D92"/>
    <w:rsid w:val="4867383D"/>
    <w:rsid w:val="48691363"/>
    <w:rsid w:val="486E0728"/>
    <w:rsid w:val="48757D08"/>
    <w:rsid w:val="48861F15"/>
    <w:rsid w:val="488E2B78"/>
    <w:rsid w:val="489565B3"/>
    <w:rsid w:val="489F6B33"/>
    <w:rsid w:val="48AF2FAE"/>
    <w:rsid w:val="48C7608A"/>
    <w:rsid w:val="48FB5D34"/>
    <w:rsid w:val="494D47E1"/>
    <w:rsid w:val="49B3654B"/>
    <w:rsid w:val="49C600F0"/>
    <w:rsid w:val="49CA7BE0"/>
    <w:rsid w:val="49CB1BAA"/>
    <w:rsid w:val="49CD76D0"/>
    <w:rsid w:val="49DB003F"/>
    <w:rsid w:val="49E14F29"/>
    <w:rsid w:val="49F25388"/>
    <w:rsid w:val="4A007AA5"/>
    <w:rsid w:val="4A225C6E"/>
    <w:rsid w:val="4A2701FF"/>
    <w:rsid w:val="4A2A2D74"/>
    <w:rsid w:val="4A2D016F"/>
    <w:rsid w:val="4A5C2802"/>
    <w:rsid w:val="4A8561FD"/>
    <w:rsid w:val="4A873D23"/>
    <w:rsid w:val="4AC7411F"/>
    <w:rsid w:val="4AC90DC8"/>
    <w:rsid w:val="4AE20F59"/>
    <w:rsid w:val="4B0F7073"/>
    <w:rsid w:val="4B3B68BB"/>
    <w:rsid w:val="4B4A7B64"/>
    <w:rsid w:val="4B6A7489"/>
    <w:rsid w:val="4B6D2F19"/>
    <w:rsid w:val="4B920BC6"/>
    <w:rsid w:val="4BA44460"/>
    <w:rsid w:val="4C01389B"/>
    <w:rsid w:val="4C0D2006"/>
    <w:rsid w:val="4C251FC6"/>
    <w:rsid w:val="4C4A5008"/>
    <w:rsid w:val="4C5A2C8D"/>
    <w:rsid w:val="4C6C385D"/>
    <w:rsid w:val="4C9D782D"/>
    <w:rsid w:val="4C9F663F"/>
    <w:rsid w:val="4CBB5F06"/>
    <w:rsid w:val="4CCC1EC1"/>
    <w:rsid w:val="4D112219"/>
    <w:rsid w:val="4D1F3437"/>
    <w:rsid w:val="4D203FBB"/>
    <w:rsid w:val="4D2A542D"/>
    <w:rsid w:val="4D700850"/>
    <w:rsid w:val="4D8E5687"/>
    <w:rsid w:val="4D9D385D"/>
    <w:rsid w:val="4DA07ECF"/>
    <w:rsid w:val="4DA745A4"/>
    <w:rsid w:val="4DAC584E"/>
    <w:rsid w:val="4DBE3EFF"/>
    <w:rsid w:val="4DCD4142"/>
    <w:rsid w:val="4DDC6134"/>
    <w:rsid w:val="4DFE254E"/>
    <w:rsid w:val="4E375A60"/>
    <w:rsid w:val="4E4067A7"/>
    <w:rsid w:val="4E406DDB"/>
    <w:rsid w:val="4E485577"/>
    <w:rsid w:val="4E4E112E"/>
    <w:rsid w:val="4E543381"/>
    <w:rsid w:val="4E6D76D3"/>
    <w:rsid w:val="4E807407"/>
    <w:rsid w:val="4EB3158A"/>
    <w:rsid w:val="4EC76DE4"/>
    <w:rsid w:val="4EE221C8"/>
    <w:rsid w:val="4F8C6496"/>
    <w:rsid w:val="4F9541FD"/>
    <w:rsid w:val="4FA03191"/>
    <w:rsid w:val="4FD17574"/>
    <w:rsid w:val="4FD6191A"/>
    <w:rsid w:val="4FEF6506"/>
    <w:rsid w:val="500D49E0"/>
    <w:rsid w:val="50242014"/>
    <w:rsid w:val="50265D8C"/>
    <w:rsid w:val="502A762A"/>
    <w:rsid w:val="503C55AF"/>
    <w:rsid w:val="503F29AA"/>
    <w:rsid w:val="50412BC6"/>
    <w:rsid w:val="50597F0F"/>
    <w:rsid w:val="50601B7A"/>
    <w:rsid w:val="50B13A11"/>
    <w:rsid w:val="50B52C6C"/>
    <w:rsid w:val="50CF1F80"/>
    <w:rsid w:val="50CF5A35"/>
    <w:rsid w:val="50E81293"/>
    <w:rsid w:val="50F6575E"/>
    <w:rsid w:val="50FA6453"/>
    <w:rsid w:val="510A745C"/>
    <w:rsid w:val="5116195C"/>
    <w:rsid w:val="511E6A63"/>
    <w:rsid w:val="512322CB"/>
    <w:rsid w:val="51360251"/>
    <w:rsid w:val="51492F64"/>
    <w:rsid w:val="51890380"/>
    <w:rsid w:val="519136D9"/>
    <w:rsid w:val="51976CDE"/>
    <w:rsid w:val="51B3364F"/>
    <w:rsid w:val="51BD2161"/>
    <w:rsid w:val="51CE0489"/>
    <w:rsid w:val="51D17820"/>
    <w:rsid w:val="51DD06CC"/>
    <w:rsid w:val="51E41A5B"/>
    <w:rsid w:val="51F7178E"/>
    <w:rsid w:val="51FA74D0"/>
    <w:rsid w:val="51FD4A72"/>
    <w:rsid w:val="522602C5"/>
    <w:rsid w:val="524B48B1"/>
    <w:rsid w:val="5295561F"/>
    <w:rsid w:val="52CD0741"/>
    <w:rsid w:val="52D23FA9"/>
    <w:rsid w:val="52DA2D3A"/>
    <w:rsid w:val="52E12930"/>
    <w:rsid w:val="52E15F9A"/>
    <w:rsid w:val="5334431C"/>
    <w:rsid w:val="53365CEF"/>
    <w:rsid w:val="535624E4"/>
    <w:rsid w:val="53690469"/>
    <w:rsid w:val="53837051"/>
    <w:rsid w:val="538E6E65"/>
    <w:rsid w:val="539354E6"/>
    <w:rsid w:val="539574B0"/>
    <w:rsid w:val="5397181B"/>
    <w:rsid w:val="53BD07B5"/>
    <w:rsid w:val="53E932F1"/>
    <w:rsid w:val="542C1497"/>
    <w:rsid w:val="54482775"/>
    <w:rsid w:val="545D5AF4"/>
    <w:rsid w:val="546D3F89"/>
    <w:rsid w:val="54880DC3"/>
    <w:rsid w:val="5488491F"/>
    <w:rsid w:val="548B1262"/>
    <w:rsid w:val="54B01AED"/>
    <w:rsid w:val="55173EF5"/>
    <w:rsid w:val="5527238A"/>
    <w:rsid w:val="552A59D6"/>
    <w:rsid w:val="5539030F"/>
    <w:rsid w:val="55545149"/>
    <w:rsid w:val="5577646D"/>
    <w:rsid w:val="5598479F"/>
    <w:rsid w:val="559D264C"/>
    <w:rsid w:val="55A35789"/>
    <w:rsid w:val="561A1EEF"/>
    <w:rsid w:val="56262642"/>
    <w:rsid w:val="56270168"/>
    <w:rsid w:val="5642697E"/>
    <w:rsid w:val="565019E7"/>
    <w:rsid w:val="56552F27"/>
    <w:rsid w:val="56554CD5"/>
    <w:rsid w:val="566413BC"/>
    <w:rsid w:val="566C4F24"/>
    <w:rsid w:val="569E48CE"/>
    <w:rsid w:val="56BE4D74"/>
    <w:rsid w:val="56CD51B3"/>
    <w:rsid w:val="56E22921"/>
    <w:rsid w:val="56EC2EAE"/>
    <w:rsid w:val="56F444EE"/>
    <w:rsid w:val="56F86467"/>
    <w:rsid w:val="56F97D56"/>
    <w:rsid w:val="57044B1F"/>
    <w:rsid w:val="57266671"/>
    <w:rsid w:val="574511ED"/>
    <w:rsid w:val="57882E88"/>
    <w:rsid w:val="57B1418D"/>
    <w:rsid w:val="57B819BF"/>
    <w:rsid w:val="57CE5874"/>
    <w:rsid w:val="57F2715C"/>
    <w:rsid w:val="57FD73D2"/>
    <w:rsid w:val="57FF425D"/>
    <w:rsid w:val="58035BF4"/>
    <w:rsid w:val="582F035F"/>
    <w:rsid w:val="583345AB"/>
    <w:rsid w:val="58AD0DF8"/>
    <w:rsid w:val="58B83A54"/>
    <w:rsid w:val="58D740C7"/>
    <w:rsid w:val="58F509F1"/>
    <w:rsid w:val="59017396"/>
    <w:rsid w:val="59401C6C"/>
    <w:rsid w:val="59405A12"/>
    <w:rsid w:val="594A6647"/>
    <w:rsid w:val="598A738C"/>
    <w:rsid w:val="599B15D3"/>
    <w:rsid w:val="59C609FF"/>
    <w:rsid w:val="59EE16C8"/>
    <w:rsid w:val="5A0542F3"/>
    <w:rsid w:val="5A0709DC"/>
    <w:rsid w:val="5A421A14"/>
    <w:rsid w:val="5A4F7C8D"/>
    <w:rsid w:val="5A673229"/>
    <w:rsid w:val="5A955FE8"/>
    <w:rsid w:val="5AA1498D"/>
    <w:rsid w:val="5AA61FA3"/>
    <w:rsid w:val="5AA63D51"/>
    <w:rsid w:val="5AE21C8B"/>
    <w:rsid w:val="5AE76118"/>
    <w:rsid w:val="5B04316E"/>
    <w:rsid w:val="5B114E55"/>
    <w:rsid w:val="5B150ED7"/>
    <w:rsid w:val="5B3475AF"/>
    <w:rsid w:val="5B394BC5"/>
    <w:rsid w:val="5B7200D7"/>
    <w:rsid w:val="5BA109BC"/>
    <w:rsid w:val="5BA34735"/>
    <w:rsid w:val="5BB64468"/>
    <w:rsid w:val="5BCB77E7"/>
    <w:rsid w:val="5BD40D92"/>
    <w:rsid w:val="5BE25018"/>
    <w:rsid w:val="5BF44F90"/>
    <w:rsid w:val="5C180C7F"/>
    <w:rsid w:val="5C2C64D8"/>
    <w:rsid w:val="5C3A7F30"/>
    <w:rsid w:val="5C3B703F"/>
    <w:rsid w:val="5C5761A7"/>
    <w:rsid w:val="5C612B51"/>
    <w:rsid w:val="5C6D49DF"/>
    <w:rsid w:val="5C7165E1"/>
    <w:rsid w:val="5C7D6D34"/>
    <w:rsid w:val="5CA61E20"/>
    <w:rsid w:val="5CA644DC"/>
    <w:rsid w:val="5CA95D7B"/>
    <w:rsid w:val="5CB36BF9"/>
    <w:rsid w:val="5CDA23D8"/>
    <w:rsid w:val="5CDF354A"/>
    <w:rsid w:val="5CF8460C"/>
    <w:rsid w:val="5D011713"/>
    <w:rsid w:val="5D1F428F"/>
    <w:rsid w:val="5D4930BA"/>
    <w:rsid w:val="5D7A14C5"/>
    <w:rsid w:val="5D7F0889"/>
    <w:rsid w:val="5DD36402"/>
    <w:rsid w:val="5DD45079"/>
    <w:rsid w:val="5DE03A1E"/>
    <w:rsid w:val="5DF254FF"/>
    <w:rsid w:val="5DF92166"/>
    <w:rsid w:val="5E0C37FC"/>
    <w:rsid w:val="5E0F7E5F"/>
    <w:rsid w:val="5E2F0501"/>
    <w:rsid w:val="5E532442"/>
    <w:rsid w:val="5E5A37D0"/>
    <w:rsid w:val="5E6006BB"/>
    <w:rsid w:val="5E987E55"/>
    <w:rsid w:val="5E9B7945"/>
    <w:rsid w:val="5EB6652D"/>
    <w:rsid w:val="5EB84469"/>
    <w:rsid w:val="5ED907F8"/>
    <w:rsid w:val="5EE16E0E"/>
    <w:rsid w:val="5EE65064"/>
    <w:rsid w:val="5EF419D5"/>
    <w:rsid w:val="5F0C558A"/>
    <w:rsid w:val="5F2F29E7"/>
    <w:rsid w:val="5F48187B"/>
    <w:rsid w:val="5F7A755A"/>
    <w:rsid w:val="5FA171DD"/>
    <w:rsid w:val="5FA767A2"/>
    <w:rsid w:val="5FB90DD9"/>
    <w:rsid w:val="5FBD4636"/>
    <w:rsid w:val="5FBF2ADD"/>
    <w:rsid w:val="5FD44EBD"/>
    <w:rsid w:val="5FE00D6D"/>
    <w:rsid w:val="5FE62E42"/>
    <w:rsid w:val="5FED41D0"/>
    <w:rsid w:val="5FF832D2"/>
    <w:rsid w:val="5FFE7AC8"/>
    <w:rsid w:val="6005151A"/>
    <w:rsid w:val="601260A9"/>
    <w:rsid w:val="60151855"/>
    <w:rsid w:val="60210924"/>
    <w:rsid w:val="602A5424"/>
    <w:rsid w:val="602C4CF9"/>
    <w:rsid w:val="60363DC9"/>
    <w:rsid w:val="60453A0D"/>
    <w:rsid w:val="604638E0"/>
    <w:rsid w:val="605E0C2A"/>
    <w:rsid w:val="60B536E7"/>
    <w:rsid w:val="60BB42CE"/>
    <w:rsid w:val="60CC05C6"/>
    <w:rsid w:val="60F17CF0"/>
    <w:rsid w:val="610C68D8"/>
    <w:rsid w:val="612D4112"/>
    <w:rsid w:val="6134643C"/>
    <w:rsid w:val="61355E2F"/>
    <w:rsid w:val="61380DEE"/>
    <w:rsid w:val="61693D2A"/>
    <w:rsid w:val="61711518"/>
    <w:rsid w:val="61B551C2"/>
    <w:rsid w:val="61BE5E24"/>
    <w:rsid w:val="61F545EC"/>
    <w:rsid w:val="61F5736C"/>
    <w:rsid w:val="62206ADF"/>
    <w:rsid w:val="6247406C"/>
    <w:rsid w:val="625247BE"/>
    <w:rsid w:val="62A212A2"/>
    <w:rsid w:val="62D376AD"/>
    <w:rsid w:val="62D60F4C"/>
    <w:rsid w:val="62E278F0"/>
    <w:rsid w:val="62E80C7F"/>
    <w:rsid w:val="62EC2905"/>
    <w:rsid w:val="62F20E07"/>
    <w:rsid w:val="631877B6"/>
    <w:rsid w:val="63381C06"/>
    <w:rsid w:val="634467FD"/>
    <w:rsid w:val="635B58F5"/>
    <w:rsid w:val="636D5D54"/>
    <w:rsid w:val="636D7690"/>
    <w:rsid w:val="637075F2"/>
    <w:rsid w:val="637864A7"/>
    <w:rsid w:val="639F57E1"/>
    <w:rsid w:val="63A33C74"/>
    <w:rsid w:val="63AB4186"/>
    <w:rsid w:val="63B70D7D"/>
    <w:rsid w:val="63F41FD1"/>
    <w:rsid w:val="64032214"/>
    <w:rsid w:val="64095351"/>
    <w:rsid w:val="640B10C9"/>
    <w:rsid w:val="64502F80"/>
    <w:rsid w:val="647B446F"/>
    <w:rsid w:val="647B7FFD"/>
    <w:rsid w:val="64805613"/>
    <w:rsid w:val="64C33752"/>
    <w:rsid w:val="64C71494"/>
    <w:rsid w:val="64D23995"/>
    <w:rsid w:val="64E35BA2"/>
    <w:rsid w:val="6535464F"/>
    <w:rsid w:val="655A40B6"/>
    <w:rsid w:val="65670C2C"/>
    <w:rsid w:val="656B1EE0"/>
    <w:rsid w:val="658A053C"/>
    <w:rsid w:val="658C7FE7"/>
    <w:rsid w:val="65B37C6A"/>
    <w:rsid w:val="65CD0D2C"/>
    <w:rsid w:val="65F1704F"/>
    <w:rsid w:val="66165DBD"/>
    <w:rsid w:val="6635242D"/>
    <w:rsid w:val="664B7EA3"/>
    <w:rsid w:val="66577A64"/>
    <w:rsid w:val="66886A01"/>
    <w:rsid w:val="66967370"/>
    <w:rsid w:val="669F4100"/>
    <w:rsid w:val="66A3383B"/>
    <w:rsid w:val="66C57C55"/>
    <w:rsid w:val="66CD4D5B"/>
    <w:rsid w:val="66ED4AB6"/>
    <w:rsid w:val="670047E9"/>
    <w:rsid w:val="670F2C7E"/>
    <w:rsid w:val="67311233"/>
    <w:rsid w:val="674548F2"/>
    <w:rsid w:val="6767497C"/>
    <w:rsid w:val="67932BBF"/>
    <w:rsid w:val="679413D5"/>
    <w:rsid w:val="67AE6A93"/>
    <w:rsid w:val="67B04461"/>
    <w:rsid w:val="67C92A9B"/>
    <w:rsid w:val="67C972D1"/>
    <w:rsid w:val="67EE31DB"/>
    <w:rsid w:val="67F105D6"/>
    <w:rsid w:val="68071BA7"/>
    <w:rsid w:val="68071DF8"/>
    <w:rsid w:val="68104F00"/>
    <w:rsid w:val="68190258"/>
    <w:rsid w:val="681903B0"/>
    <w:rsid w:val="6833299C"/>
    <w:rsid w:val="683657F8"/>
    <w:rsid w:val="684D1CB0"/>
    <w:rsid w:val="686C5682"/>
    <w:rsid w:val="68710D40"/>
    <w:rsid w:val="6884144A"/>
    <w:rsid w:val="68873690"/>
    <w:rsid w:val="68B166E3"/>
    <w:rsid w:val="68B95597"/>
    <w:rsid w:val="68CA50AF"/>
    <w:rsid w:val="69034A64"/>
    <w:rsid w:val="690A194F"/>
    <w:rsid w:val="690E58E3"/>
    <w:rsid w:val="691C1682"/>
    <w:rsid w:val="692E3BD2"/>
    <w:rsid w:val="694330B3"/>
    <w:rsid w:val="69851833"/>
    <w:rsid w:val="69977C50"/>
    <w:rsid w:val="699B6A4B"/>
    <w:rsid w:val="699D27C3"/>
    <w:rsid w:val="69B30239"/>
    <w:rsid w:val="69B83AA1"/>
    <w:rsid w:val="69BB0E9B"/>
    <w:rsid w:val="69CA10DE"/>
    <w:rsid w:val="69CC30A8"/>
    <w:rsid w:val="69E228CC"/>
    <w:rsid w:val="69F148BD"/>
    <w:rsid w:val="69FC1BE0"/>
    <w:rsid w:val="6A575068"/>
    <w:rsid w:val="6A7B243E"/>
    <w:rsid w:val="6A934DF6"/>
    <w:rsid w:val="6ABC7372"/>
    <w:rsid w:val="6AFE54E3"/>
    <w:rsid w:val="6B00125C"/>
    <w:rsid w:val="6B2667E8"/>
    <w:rsid w:val="6B2D21E8"/>
    <w:rsid w:val="6B3715F5"/>
    <w:rsid w:val="6B5E5F82"/>
    <w:rsid w:val="6B6D2669"/>
    <w:rsid w:val="6B713F07"/>
    <w:rsid w:val="6B930322"/>
    <w:rsid w:val="6B95409A"/>
    <w:rsid w:val="6BA02A3F"/>
    <w:rsid w:val="6BAA11C7"/>
    <w:rsid w:val="6BB65DBE"/>
    <w:rsid w:val="6BC73B27"/>
    <w:rsid w:val="6BD9385B"/>
    <w:rsid w:val="6BF863D7"/>
    <w:rsid w:val="6BFA3EFD"/>
    <w:rsid w:val="6C172D01"/>
    <w:rsid w:val="6C186A79"/>
    <w:rsid w:val="6C4E249B"/>
    <w:rsid w:val="6C7812C6"/>
    <w:rsid w:val="6C8163CC"/>
    <w:rsid w:val="6C857302"/>
    <w:rsid w:val="6CC369E5"/>
    <w:rsid w:val="6CD3474E"/>
    <w:rsid w:val="6CD56718"/>
    <w:rsid w:val="6CDD26EE"/>
    <w:rsid w:val="6CE30E35"/>
    <w:rsid w:val="6CEC27F9"/>
    <w:rsid w:val="6CFA617E"/>
    <w:rsid w:val="6D1C60F5"/>
    <w:rsid w:val="6D2154B9"/>
    <w:rsid w:val="6D2A25C0"/>
    <w:rsid w:val="6D2D3E5E"/>
    <w:rsid w:val="6D325918"/>
    <w:rsid w:val="6D6535F8"/>
    <w:rsid w:val="6D8A5754"/>
    <w:rsid w:val="6D8C327A"/>
    <w:rsid w:val="6DAF51BB"/>
    <w:rsid w:val="6DD62748"/>
    <w:rsid w:val="6DF57072"/>
    <w:rsid w:val="6E1374F8"/>
    <w:rsid w:val="6E29242B"/>
    <w:rsid w:val="6E2E4332"/>
    <w:rsid w:val="6E4E154F"/>
    <w:rsid w:val="6E5344CD"/>
    <w:rsid w:val="6E58315D"/>
    <w:rsid w:val="6ECB657E"/>
    <w:rsid w:val="6F0B4673"/>
    <w:rsid w:val="6F152DFC"/>
    <w:rsid w:val="6F2B0E65"/>
    <w:rsid w:val="6F433E0D"/>
    <w:rsid w:val="6F5044AB"/>
    <w:rsid w:val="6F60676D"/>
    <w:rsid w:val="6F6B6EC0"/>
    <w:rsid w:val="6F743FC6"/>
    <w:rsid w:val="6F775864"/>
    <w:rsid w:val="6FA83C70"/>
    <w:rsid w:val="6FCA008A"/>
    <w:rsid w:val="7000585A"/>
    <w:rsid w:val="70027FD6"/>
    <w:rsid w:val="70194B6E"/>
    <w:rsid w:val="70224441"/>
    <w:rsid w:val="702E23C7"/>
    <w:rsid w:val="705B5186"/>
    <w:rsid w:val="70671D7D"/>
    <w:rsid w:val="70A703CB"/>
    <w:rsid w:val="70B2048D"/>
    <w:rsid w:val="70B9783B"/>
    <w:rsid w:val="70D95DDC"/>
    <w:rsid w:val="70E62CA2"/>
    <w:rsid w:val="70FE417A"/>
    <w:rsid w:val="711F61B4"/>
    <w:rsid w:val="714E78E0"/>
    <w:rsid w:val="71575885"/>
    <w:rsid w:val="716F2C97"/>
    <w:rsid w:val="71771B4C"/>
    <w:rsid w:val="719721EE"/>
    <w:rsid w:val="719941B8"/>
    <w:rsid w:val="71BA7C8A"/>
    <w:rsid w:val="71C70D25"/>
    <w:rsid w:val="71F31B1A"/>
    <w:rsid w:val="72192C03"/>
    <w:rsid w:val="72200435"/>
    <w:rsid w:val="72330169"/>
    <w:rsid w:val="723B7A2C"/>
    <w:rsid w:val="72440855"/>
    <w:rsid w:val="724C122A"/>
    <w:rsid w:val="7252306F"/>
    <w:rsid w:val="725D51E5"/>
    <w:rsid w:val="72693B8A"/>
    <w:rsid w:val="728D344D"/>
    <w:rsid w:val="7294672D"/>
    <w:rsid w:val="72A51015"/>
    <w:rsid w:val="72A76461"/>
    <w:rsid w:val="72A9188A"/>
    <w:rsid w:val="72BB015E"/>
    <w:rsid w:val="72D27981"/>
    <w:rsid w:val="72D90331"/>
    <w:rsid w:val="72FC49FE"/>
    <w:rsid w:val="72FD54F4"/>
    <w:rsid w:val="72FF6166"/>
    <w:rsid w:val="730D4025"/>
    <w:rsid w:val="731358A4"/>
    <w:rsid w:val="731C6E4F"/>
    <w:rsid w:val="733817AF"/>
    <w:rsid w:val="734E4B2E"/>
    <w:rsid w:val="734F6DDC"/>
    <w:rsid w:val="737427E7"/>
    <w:rsid w:val="73813156"/>
    <w:rsid w:val="73836ECE"/>
    <w:rsid w:val="73AA26AC"/>
    <w:rsid w:val="73C82B32"/>
    <w:rsid w:val="73E831D5"/>
    <w:rsid w:val="73ED07EB"/>
    <w:rsid w:val="741C01FC"/>
    <w:rsid w:val="74343D24"/>
    <w:rsid w:val="744321B9"/>
    <w:rsid w:val="745240E9"/>
    <w:rsid w:val="745368A0"/>
    <w:rsid w:val="745B39A7"/>
    <w:rsid w:val="745F58C2"/>
    <w:rsid w:val="74D3178F"/>
    <w:rsid w:val="74EE4AA7"/>
    <w:rsid w:val="74F17E67"/>
    <w:rsid w:val="74F3598D"/>
    <w:rsid w:val="74F55BA9"/>
    <w:rsid w:val="75045DEC"/>
    <w:rsid w:val="751C1388"/>
    <w:rsid w:val="7521074C"/>
    <w:rsid w:val="75296BC1"/>
    <w:rsid w:val="75324707"/>
    <w:rsid w:val="753F5076"/>
    <w:rsid w:val="754B0E32"/>
    <w:rsid w:val="754D1541"/>
    <w:rsid w:val="757765BE"/>
    <w:rsid w:val="758D4034"/>
    <w:rsid w:val="75994786"/>
    <w:rsid w:val="75D02172"/>
    <w:rsid w:val="75E8143D"/>
    <w:rsid w:val="75EB3210"/>
    <w:rsid w:val="761738FD"/>
    <w:rsid w:val="76211CFF"/>
    <w:rsid w:val="765E32DA"/>
    <w:rsid w:val="766C0F95"/>
    <w:rsid w:val="768216BE"/>
    <w:rsid w:val="76937428"/>
    <w:rsid w:val="76C70E7F"/>
    <w:rsid w:val="76D01188"/>
    <w:rsid w:val="76F51E90"/>
    <w:rsid w:val="76FE2720"/>
    <w:rsid w:val="77000835"/>
    <w:rsid w:val="77032957"/>
    <w:rsid w:val="772C5186"/>
    <w:rsid w:val="77366005"/>
    <w:rsid w:val="776E4B73"/>
    <w:rsid w:val="77852356"/>
    <w:rsid w:val="77A13DC6"/>
    <w:rsid w:val="77A25449"/>
    <w:rsid w:val="77B62A54"/>
    <w:rsid w:val="77C720FB"/>
    <w:rsid w:val="77E37F3B"/>
    <w:rsid w:val="77ED3E16"/>
    <w:rsid w:val="781E74D2"/>
    <w:rsid w:val="782D565A"/>
    <w:rsid w:val="78710B12"/>
    <w:rsid w:val="7879264D"/>
    <w:rsid w:val="788039DC"/>
    <w:rsid w:val="78961451"/>
    <w:rsid w:val="78A74CC3"/>
    <w:rsid w:val="78B25122"/>
    <w:rsid w:val="78B813C8"/>
    <w:rsid w:val="78EE303B"/>
    <w:rsid w:val="78FD6DDA"/>
    <w:rsid w:val="792720A9"/>
    <w:rsid w:val="793B177C"/>
    <w:rsid w:val="793D18CD"/>
    <w:rsid w:val="7961380D"/>
    <w:rsid w:val="797F1EE5"/>
    <w:rsid w:val="79907C4E"/>
    <w:rsid w:val="79984D55"/>
    <w:rsid w:val="79AF0C47"/>
    <w:rsid w:val="79C70B90"/>
    <w:rsid w:val="79E24918"/>
    <w:rsid w:val="79E461EC"/>
    <w:rsid w:val="79E576FD"/>
    <w:rsid w:val="7A41753D"/>
    <w:rsid w:val="7A5E1AFB"/>
    <w:rsid w:val="7AB83901"/>
    <w:rsid w:val="7ADE2C3C"/>
    <w:rsid w:val="7AF1471D"/>
    <w:rsid w:val="7B0614CE"/>
    <w:rsid w:val="7B1C1063"/>
    <w:rsid w:val="7B4C2104"/>
    <w:rsid w:val="7B4E41B6"/>
    <w:rsid w:val="7B5D1DB2"/>
    <w:rsid w:val="7B875081"/>
    <w:rsid w:val="7B955588"/>
    <w:rsid w:val="7BD14F61"/>
    <w:rsid w:val="7BDC53CD"/>
    <w:rsid w:val="7BF344C5"/>
    <w:rsid w:val="7C1E3C37"/>
    <w:rsid w:val="7C1E3F48"/>
    <w:rsid w:val="7C776EA4"/>
    <w:rsid w:val="7C7F3FAA"/>
    <w:rsid w:val="7CA51C63"/>
    <w:rsid w:val="7CBE56A6"/>
    <w:rsid w:val="7CE30FDE"/>
    <w:rsid w:val="7D0B7ECF"/>
    <w:rsid w:val="7D221505"/>
    <w:rsid w:val="7D277330"/>
    <w:rsid w:val="7D5176F5"/>
    <w:rsid w:val="7D690EE2"/>
    <w:rsid w:val="7D747887"/>
    <w:rsid w:val="7D787377"/>
    <w:rsid w:val="7D7B29C4"/>
    <w:rsid w:val="7D800A3A"/>
    <w:rsid w:val="7D887E3C"/>
    <w:rsid w:val="7DAC0DCF"/>
    <w:rsid w:val="7DAF31EC"/>
    <w:rsid w:val="7DC73E5B"/>
    <w:rsid w:val="7DE7105B"/>
    <w:rsid w:val="7DEE6983"/>
    <w:rsid w:val="7DEF6617"/>
    <w:rsid w:val="7E040C0B"/>
    <w:rsid w:val="7E0806FB"/>
    <w:rsid w:val="7E0A791D"/>
    <w:rsid w:val="7E143EB6"/>
    <w:rsid w:val="7E2B00A1"/>
    <w:rsid w:val="7E33329E"/>
    <w:rsid w:val="7E551467"/>
    <w:rsid w:val="7E603096"/>
    <w:rsid w:val="7E6D055E"/>
    <w:rsid w:val="7E6F2DC0"/>
    <w:rsid w:val="7EF0118F"/>
    <w:rsid w:val="7EFE078A"/>
    <w:rsid w:val="7F0569E9"/>
    <w:rsid w:val="7F0F7867"/>
    <w:rsid w:val="7F4C279C"/>
    <w:rsid w:val="7F871AF4"/>
    <w:rsid w:val="7F8A3392"/>
    <w:rsid w:val="7FB66C38"/>
    <w:rsid w:val="7FD9111C"/>
    <w:rsid w:val="7FDD34C2"/>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3">
    <w:name w:val="Body Text Indent"/>
    <w:basedOn w:val="1"/>
    <w:link w:val="19"/>
    <w:semiHidden/>
    <w:unhideWhenUsed/>
    <w:qFormat/>
    <w:uiPriority w:val="99"/>
    <w:pPr>
      <w:spacing w:after="120"/>
      <w:ind w:left="420" w:leftChars="200"/>
    </w:pPr>
  </w:style>
  <w:style w:type="paragraph" w:styleId="4">
    <w:name w:val="Balloon Text"/>
    <w:basedOn w:val="1"/>
    <w:link w:val="13"/>
    <w:semiHidden/>
    <w:unhideWhenUsed/>
    <w:qFormat/>
    <w:uiPriority w:val="99"/>
    <w:pPr>
      <w:spacing w:after="0"/>
    </w:pPr>
    <w:rPr>
      <w:sz w:val="18"/>
      <w:szCs w:val="18"/>
    </w:rPr>
  </w:style>
  <w:style w:type="paragraph" w:styleId="5">
    <w:name w:val="footer"/>
    <w:basedOn w:val="1"/>
    <w:link w:val="16"/>
    <w:unhideWhenUsed/>
    <w:qFormat/>
    <w:uiPriority w:val="99"/>
    <w:pPr>
      <w:tabs>
        <w:tab w:val="center" w:pos="4153"/>
        <w:tab w:val="right" w:pos="8306"/>
      </w:tabs>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99"/>
    <w:pPr>
      <w:adjustRightInd/>
      <w:snapToGrid/>
      <w:spacing w:before="100" w:beforeAutospacing="1" w:after="100" w:afterAutospacing="1"/>
    </w:pPr>
    <w:rPr>
      <w:rFonts w:ascii="宋体" w:hAnsi="宋体" w:eastAsia="黑体" w:cs="宋体"/>
      <w:color w:val="161874"/>
      <w:sz w:val="24"/>
      <w:szCs w:val="24"/>
    </w:rPr>
  </w:style>
  <w:style w:type="paragraph" w:styleId="8">
    <w:name w:val="Title"/>
    <w:basedOn w:val="1"/>
    <w:next w:val="3"/>
    <w:link w:val="18"/>
    <w:qFormat/>
    <w:uiPriority w:val="0"/>
    <w:pPr>
      <w:widowControl w:val="0"/>
      <w:adjustRightInd/>
      <w:snapToGrid/>
      <w:spacing w:after="0"/>
      <w:ind w:left="640" w:leftChars="200"/>
      <w:jc w:val="both"/>
      <w:outlineLvl w:val="0"/>
    </w:pPr>
    <w:rPr>
      <w:rFonts w:ascii="Arial" w:hAnsi="Arial" w:eastAsia="仿宋_GB2312" w:cs="Times New Roman"/>
      <w:b/>
      <w:kern w:val="2"/>
      <w:sz w:val="32"/>
      <w:szCs w:val="24"/>
    </w:rPr>
  </w:style>
  <w:style w:type="character" w:styleId="11">
    <w:name w:val="Strong"/>
    <w:basedOn w:val="10"/>
    <w:qFormat/>
    <w:uiPriority w:val="0"/>
    <w:rPr>
      <w:b/>
    </w:rPr>
  </w:style>
  <w:style w:type="paragraph" w:styleId="12">
    <w:name w:val="List Paragraph"/>
    <w:basedOn w:val="1"/>
    <w:qFormat/>
    <w:uiPriority w:val="34"/>
    <w:pPr>
      <w:ind w:firstLine="420" w:firstLineChars="200"/>
    </w:pPr>
  </w:style>
  <w:style w:type="character" w:customStyle="1" w:styleId="13">
    <w:name w:val="批注框文本 Char"/>
    <w:basedOn w:val="10"/>
    <w:link w:val="4"/>
    <w:semiHidden/>
    <w:qFormat/>
    <w:uiPriority w:val="99"/>
    <w:rPr>
      <w:rFonts w:ascii="Tahoma" w:hAnsi="Tahoma"/>
      <w:sz w:val="18"/>
      <w:szCs w:val="18"/>
    </w:rPr>
  </w:style>
  <w:style w:type="character" w:customStyle="1" w:styleId="14">
    <w:name w:val="正文文本 Char"/>
    <w:basedOn w:val="10"/>
    <w:link w:val="2"/>
    <w:qFormat/>
    <w:uiPriority w:val="99"/>
    <w:rPr>
      <w:rFonts w:ascii="Times New Roman" w:hAnsi="Times New Roman" w:eastAsia="宋体" w:cs="Times New Roman"/>
      <w:kern w:val="2"/>
      <w:sz w:val="21"/>
      <w:szCs w:val="24"/>
    </w:rPr>
  </w:style>
  <w:style w:type="character" w:customStyle="1" w:styleId="15">
    <w:name w:val="页眉 Char"/>
    <w:basedOn w:val="10"/>
    <w:link w:val="6"/>
    <w:semiHidden/>
    <w:qFormat/>
    <w:uiPriority w:val="99"/>
    <w:rPr>
      <w:rFonts w:ascii="Tahoma" w:hAnsi="Tahoma"/>
      <w:sz w:val="18"/>
      <w:szCs w:val="18"/>
    </w:rPr>
  </w:style>
  <w:style w:type="character" w:customStyle="1" w:styleId="16">
    <w:name w:val="页脚 Char"/>
    <w:basedOn w:val="10"/>
    <w:link w:val="5"/>
    <w:qFormat/>
    <w:uiPriority w:val="99"/>
    <w:rPr>
      <w:rFonts w:ascii="Tahoma" w:hAnsi="Tahoma"/>
      <w:sz w:val="18"/>
      <w:szCs w:val="18"/>
    </w:rPr>
  </w:style>
  <w:style w:type="character" w:customStyle="1" w:styleId="17">
    <w:name w:val="NormalCharacter"/>
    <w:qFormat/>
    <w:uiPriority w:val="0"/>
    <w:rPr>
      <w:rFonts w:ascii="Times New Roman" w:hAnsi="Times New Roman" w:eastAsia="宋体"/>
    </w:rPr>
  </w:style>
  <w:style w:type="character" w:customStyle="1" w:styleId="18">
    <w:name w:val="标题 Char"/>
    <w:basedOn w:val="10"/>
    <w:link w:val="8"/>
    <w:qFormat/>
    <w:uiPriority w:val="0"/>
    <w:rPr>
      <w:rFonts w:ascii="Arial" w:hAnsi="Arial" w:eastAsia="仿宋_GB2312" w:cs="Times New Roman"/>
      <w:b/>
      <w:kern w:val="2"/>
      <w:sz w:val="32"/>
      <w:szCs w:val="24"/>
    </w:rPr>
  </w:style>
  <w:style w:type="character" w:customStyle="1" w:styleId="19">
    <w:name w:val="正文文本缩进 Char"/>
    <w:basedOn w:val="10"/>
    <w:link w:val="3"/>
    <w:semiHidden/>
    <w:qFormat/>
    <w:uiPriority w:val="99"/>
    <w:rPr>
      <w:rFonts w:ascii="Tahoma" w:hAnsi="Tahoma"/>
    </w:rPr>
  </w:style>
  <w:style w:type="paragraph" w:customStyle="1" w:styleId="20">
    <w:name w:val="图"/>
    <w:basedOn w:val="1"/>
    <w:qFormat/>
    <w:uiPriority w:val="0"/>
    <w:pPr>
      <w:widowControl w:val="0"/>
      <w:spacing w:after="0" w:line="560" w:lineRule="exact"/>
    </w:pPr>
    <w:rPr>
      <w:rFonts w:ascii="仿宋_GB2312" w:hAnsi="Calibri" w:eastAsia="仿宋_GB2312" w:cs="Times New Roman"/>
      <w:color w:val="000000"/>
      <w:kern w:val="30"/>
      <w:sz w:val="32"/>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1&#24180;&#32479;&#35745;&#20844;&#25253;\2021&#24180;&#32479;&#35745;&#20844;&#25253;&#2227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istrator\Desktop\2021&#24180;&#32479;&#35745;&#20844;&#25253;\2021&#24180;&#32479;&#35745;&#20844;&#25253;&#2227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1&#24180;&#32479;&#35745;&#20844;&#25253;\2021&#24180;&#32479;&#35745;&#20844;&#25253;&#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1&#24180;&#32479;&#35745;&#20844;&#25253;\2021&#24180;&#32479;&#35745;&#20844;&#25253;&#2227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1&#24180;&#32479;&#35745;&#20844;&#25253;\2021&#24180;&#32479;&#35745;&#20844;&#25253;&#2227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1&#24180;&#32479;&#35745;&#20844;&#25253;\2021&#24180;&#32479;&#35745;&#20844;&#25253;&#2227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1&#24180;&#32479;&#35745;&#20844;&#25253;\2021&#24180;&#32479;&#35745;&#20844;&#25253;&#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1&#24180;&#32479;&#35745;&#20844;&#25253;\2021&#24180;&#32479;&#35745;&#20844;&#25253;&#2227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istrator\Desktop\2021&#24180;&#32479;&#35745;&#20844;&#25253;\2021&#24180;&#32479;&#35745;&#20844;&#25253;&#2227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istrator\Desktop\2021&#24180;&#32479;&#35745;&#20844;&#25253;\2021&#24180;&#32479;&#35745;&#20844;&#2525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Times New Roman" panose="02020603050405020304" charset="0"/>
                <a:ea typeface="+mn-ea"/>
                <a:cs typeface="Times New Roman" panose="02020603050405020304" charset="0"/>
              </a:defRPr>
            </a:pPr>
            <a:r>
              <a:rPr lang="zh-CN" sz="1600"/>
              <a:t>图</a:t>
            </a:r>
            <a:r>
              <a:rPr lang="en-US" sz="1600"/>
              <a:t>1   2016-2021</a:t>
            </a:r>
            <a:r>
              <a:rPr lang="zh-CN" sz="1600"/>
              <a:t>年全区地区生产总值情况</a:t>
            </a:r>
            <a:endParaRPr lang="zh-CN" sz="1600"/>
          </a:p>
        </c:rich>
      </c:tx>
      <c:layout/>
      <c:overlay val="0"/>
    </c:title>
    <c:autoTitleDeleted val="0"/>
    <c:plotArea>
      <c:layout/>
      <c:barChart>
        <c:barDir val="col"/>
        <c:grouping val="clustered"/>
        <c:varyColors val="0"/>
        <c:ser>
          <c:idx val="0"/>
          <c:order val="0"/>
          <c:tx>
            <c:strRef>
              <c:f>[2021年统计公报图.xlsx]地区生产总值!$B$1</c:f>
              <c:strCache>
                <c:ptCount val="1"/>
                <c:pt idx="0">
                  <c:v>总量</c:v>
                </c:pt>
              </c:strCache>
            </c:strRef>
          </c:tx>
          <c:spPr>
            <a:solidFill>
              <a:schemeClr val="tx2">
                <a:lumMod val="40000"/>
                <a:lumOff val="60000"/>
              </a:schemeClr>
            </a:solidFill>
            <a:effectLst>
              <a:outerShdw blurRad="50800" dist="38100" dir="2700000" algn="tl" rotWithShape="0">
                <a:prstClr val="black">
                  <a:alpha val="40000"/>
                </a:prstClr>
              </a:outerShdw>
            </a:effectLst>
          </c:spPr>
          <c:invertIfNegative val="0"/>
          <c:dPt>
            <c:idx val="5"/>
            <c:invertIfNegative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[2021年统计公报图.xlsx]地区生产总值!$A$2:$A$7</c:f>
              <c:numCache>
                <c:formatCode>General</c:formatCode>
                <c:ptCount val="6"/>
                <c:pt idx="0">
                  <c:v>2016</c:v>
                </c:pt>
                <c:pt idx="1">
                  <c:v>2017</c:v>
                </c:pt>
                <c:pt idx="2">
                  <c:v>2018</c:v>
                </c:pt>
                <c:pt idx="3">
                  <c:v>2019</c:v>
                </c:pt>
                <c:pt idx="4">
                  <c:v>2020</c:v>
                </c:pt>
                <c:pt idx="5">
                  <c:v>2021</c:v>
                </c:pt>
              </c:numCache>
            </c:numRef>
          </c:cat>
          <c:val>
            <c:numRef>
              <c:f>[2021年统计公报图.xlsx]地区生产总值!$B$2:$B$7</c:f>
              <c:numCache>
                <c:formatCode>General</c:formatCode>
                <c:ptCount val="6"/>
                <c:pt idx="0">
                  <c:v>296.1</c:v>
                </c:pt>
                <c:pt idx="1">
                  <c:v>323.59</c:v>
                </c:pt>
                <c:pt idx="2">
                  <c:v>348.31</c:v>
                </c:pt>
                <c:pt idx="3">
                  <c:v>380.09</c:v>
                </c:pt>
                <c:pt idx="4">
                  <c:v>403.22</c:v>
                </c:pt>
                <c:pt idx="5">
                  <c:v>463.92</c:v>
                </c:pt>
              </c:numCache>
            </c:numRef>
          </c:val>
        </c:ser>
        <c:dLbls>
          <c:showLegendKey val="0"/>
          <c:showVal val="1"/>
          <c:showCatName val="0"/>
          <c:showSerName val="0"/>
          <c:showPercent val="0"/>
          <c:showBubbleSize val="0"/>
        </c:dLbls>
        <c:gapWidth val="104"/>
        <c:axId val="154289280"/>
        <c:axId val="154290816"/>
      </c:barChart>
      <c:lineChart>
        <c:grouping val="standard"/>
        <c:varyColors val="0"/>
        <c:ser>
          <c:idx val="1"/>
          <c:order val="1"/>
          <c:tx>
            <c:strRef>
              <c:f>[2021年统计公报图.xlsx]地区生产总值!$C$1</c:f>
              <c:strCache>
                <c:ptCount val="1"/>
                <c:pt idx="0">
                  <c:v>增速</c:v>
                </c:pt>
              </c:strCache>
            </c:strRef>
          </c:tx>
          <c:spPr>
            <a:ln w="28575" cap="rnd" cmpd="sng" algn="ctr">
              <a:solidFill>
                <a:srgbClr val="7030A0"/>
              </a:solidFill>
              <a:prstDash val="solid"/>
              <a:round/>
            </a:ln>
          </c:spPr>
          <c:marker>
            <c:symbol val="diamond"/>
            <c:size val="7"/>
            <c:spPr>
              <a:solidFill>
                <a:srgbClr val="7030A0"/>
              </a:solidFill>
              <a:ln w="9525" cap="flat" cmpd="sng" algn="ctr">
                <a:solidFill>
                  <a:srgbClr val="7030A0"/>
                </a:solidFill>
                <a:prstDash val="solid"/>
                <a:round/>
              </a:ln>
            </c:spPr>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[2021年统计公报图.xlsx]地区生产总值!$A$2:$A$7</c:f>
              <c:numCache>
                <c:formatCode>General</c:formatCode>
                <c:ptCount val="6"/>
                <c:pt idx="0">
                  <c:v>2016</c:v>
                </c:pt>
                <c:pt idx="1">
                  <c:v>2017</c:v>
                </c:pt>
                <c:pt idx="2">
                  <c:v>2018</c:v>
                </c:pt>
                <c:pt idx="3">
                  <c:v>2019</c:v>
                </c:pt>
                <c:pt idx="4">
                  <c:v>2020</c:v>
                </c:pt>
                <c:pt idx="5">
                  <c:v>2021</c:v>
                </c:pt>
              </c:numCache>
            </c:numRef>
          </c:cat>
          <c:val>
            <c:numRef>
              <c:f>[2021年统计公报图.xlsx]地区生产总值!$C$2:$C$7</c:f>
              <c:numCache>
                <c:formatCode>0.0%</c:formatCode>
                <c:ptCount val="6"/>
                <c:pt idx="0">
                  <c:v>0.094</c:v>
                </c:pt>
                <c:pt idx="1">
                  <c:v>0.071</c:v>
                </c:pt>
                <c:pt idx="2">
                  <c:v>0.061</c:v>
                </c:pt>
                <c:pt idx="3">
                  <c:v>0.072</c:v>
                </c:pt>
                <c:pt idx="4">
                  <c:v>0.045</c:v>
                </c:pt>
                <c:pt idx="5">
                  <c:v>0.095</c:v>
                </c:pt>
              </c:numCache>
            </c:numRef>
          </c:val>
          <c:smooth val="0"/>
        </c:ser>
        <c:dLbls>
          <c:showLegendKey val="0"/>
          <c:showVal val="1"/>
          <c:showCatName val="0"/>
          <c:showSerName val="0"/>
          <c:showPercent val="0"/>
          <c:showBubbleSize val="0"/>
        </c:dLbls>
        <c:marker val="1"/>
        <c:smooth val="0"/>
        <c:axId val="154325376"/>
        <c:axId val="154307200"/>
      </c:lineChart>
      <c:catAx>
        <c:axId val="15428928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54290816"/>
        <c:crosses val="autoZero"/>
        <c:auto val="1"/>
        <c:lblAlgn val="ctr"/>
        <c:lblOffset val="100"/>
        <c:noMultiLvlLbl val="0"/>
      </c:catAx>
      <c:valAx>
        <c:axId val="154290816"/>
        <c:scaling>
          <c:orientation val="minMax"/>
        </c:scaling>
        <c:delete val="0"/>
        <c:axPos val="l"/>
        <c:title>
          <c:tx>
            <c:rich>
              <a:bodyPr rot="0" spcFirstLastPara="0" vertOverflow="ellipsis" vert="wordArtVertRtl" wrap="square" anchor="ctr" anchorCtr="1"/>
              <a:lstStyle/>
              <a:p>
                <a:pPr>
                  <a:defRPr lang="zh-CN" sz="1000" b="1" i="0" u="none" strike="noStrike" kern="1200" baseline="0">
                    <a:solidFill>
                      <a:schemeClr val="tx1"/>
                    </a:solidFill>
                    <a:latin typeface="Times New Roman" panose="02020603050405020304" charset="0"/>
                    <a:ea typeface="+mn-ea"/>
                    <a:cs typeface="Times New Roman" panose="02020603050405020304" charset="0"/>
                  </a:defRPr>
                </a:pPr>
                <a:r>
                  <a:rPr lang="zh-CN" altLang="en-US"/>
                  <a:t>亿元</a:t>
                </a:r>
                <a:endParaRPr lang="zh-CN" altLang="en-US"/>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54289280"/>
        <c:crosses val="autoZero"/>
        <c:crossBetween val="between"/>
      </c:valAx>
      <c:catAx>
        <c:axId val="154325376"/>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54307200"/>
        <c:crosses val="autoZero"/>
        <c:auto val="1"/>
        <c:lblAlgn val="ctr"/>
        <c:lblOffset val="100"/>
        <c:noMultiLvlLbl val="0"/>
      </c:catAx>
      <c:valAx>
        <c:axId val="154307200"/>
        <c:scaling>
          <c:orientation val="minMax"/>
        </c:scaling>
        <c:delete val="0"/>
        <c:axPos val="r"/>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54325376"/>
        <c:crosses val="max"/>
        <c:crossBetween val="between"/>
        <c:majorUnit val="0.04"/>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Times New Roman" panose="02020603050405020304" charset="0"/>
                <a:ea typeface="+mn-ea"/>
                <a:cs typeface="Times New Roman" panose="02020603050405020304" charset="0"/>
              </a:defRPr>
            </a:pPr>
            <a:r>
              <a:rPr lang="zh-CN" sz="1600"/>
              <a:t>图</a:t>
            </a:r>
            <a:r>
              <a:rPr lang="en-US" altLang="zh-CN" sz="1600"/>
              <a:t>10</a:t>
            </a:r>
            <a:r>
              <a:rPr lang="en-US" sz="1600"/>
              <a:t>  2016-2021 </a:t>
            </a:r>
            <a:r>
              <a:rPr lang="zh-CN" sz="1600"/>
              <a:t>年全区居民收入</a:t>
            </a:r>
            <a:endParaRPr lang="zh-CN" sz="1600"/>
          </a:p>
        </c:rich>
      </c:tx>
      <c:layout/>
      <c:overlay val="0"/>
    </c:title>
    <c:autoTitleDeleted val="0"/>
    <c:plotArea>
      <c:layout/>
      <c:barChart>
        <c:barDir val="col"/>
        <c:grouping val="clustered"/>
        <c:varyColors val="0"/>
        <c:ser>
          <c:idx val="1"/>
          <c:order val="0"/>
          <c:tx>
            <c:strRef>
              <c:f>[2021年统计公报图.xlsx]住户!$B$1</c:f>
              <c:strCache>
                <c:ptCount val="1"/>
                <c:pt idx="0">
                  <c:v>全体居民人均年可支配收入（元）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[2021年统计公报图.xlsx]住户!$A$2:$A$7</c:f>
              <c:numCache>
                <c:formatCode>General</c:formatCode>
                <c:ptCount val="6"/>
                <c:pt idx="0">
                  <c:v>2016</c:v>
                </c:pt>
                <c:pt idx="1">
                  <c:v>2017</c:v>
                </c:pt>
                <c:pt idx="2">
                  <c:v>2018</c:v>
                </c:pt>
                <c:pt idx="3">
                  <c:v>2019</c:v>
                </c:pt>
                <c:pt idx="4">
                  <c:v>2020</c:v>
                </c:pt>
                <c:pt idx="5">
                  <c:v>2021</c:v>
                </c:pt>
              </c:numCache>
            </c:numRef>
          </c:cat>
          <c:val>
            <c:numRef>
              <c:f>[2021年统计公报图.xlsx]住户!$B$2:$B$7</c:f>
              <c:numCache>
                <c:formatCode>0</c:formatCode>
                <c:ptCount val="6"/>
                <c:pt idx="0">
                  <c:v>20221.2</c:v>
                </c:pt>
                <c:pt idx="1">
                  <c:v>22091</c:v>
                </c:pt>
                <c:pt idx="2">
                  <c:v>25137</c:v>
                </c:pt>
                <c:pt idx="3">
                  <c:v>27379.4749230552</c:v>
                </c:pt>
                <c:pt idx="4" c:formatCode="General">
                  <c:v>28988</c:v>
                </c:pt>
                <c:pt idx="5" c:formatCode="General">
                  <c:v>32030</c:v>
                </c:pt>
              </c:numCache>
            </c:numRef>
          </c:val>
        </c:ser>
        <c:dLbls>
          <c:showLegendKey val="0"/>
          <c:showVal val="1"/>
          <c:showCatName val="0"/>
          <c:showSerName val="0"/>
          <c:showPercent val="0"/>
          <c:showBubbleSize val="0"/>
        </c:dLbls>
        <c:gapWidth val="150"/>
        <c:axId val="156493312"/>
        <c:axId val="156494848"/>
      </c:barChart>
      <c:lineChart>
        <c:grouping val="standard"/>
        <c:varyColors val="0"/>
        <c:ser>
          <c:idx val="2"/>
          <c:order val="1"/>
          <c:tx>
            <c:strRef>
              <c:f>[2021年统计公报图.xlsx]住户!$C$1</c:f>
              <c:strCache>
                <c:ptCount val="1"/>
                <c:pt idx="0">
                  <c:v>增速（%）</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[2021年统计公报图.xlsx]住户!$A$2:$A$7</c:f>
              <c:numCache>
                <c:formatCode>General</c:formatCode>
                <c:ptCount val="6"/>
                <c:pt idx="0">
                  <c:v>2016</c:v>
                </c:pt>
                <c:pt idx="1">
                  <c:v>2017</c:v>
                </c:pt>
                <c:pt idx="2">
                  <c:v>2018</c:v>
                </c:pt>
                <c:pt idx="3">
                  <c:v>2019</c:v>
                </c:pt>
                <c:pt idx="4">
                  <c:v>2020</c:v>
                </c:pt>
                <c:pt idx="5">
                  <c:v>2021</c:v>
                </c:pt>
              </c:numCache>
            </c:numRef>
          </c:cat>
          <c:val>
            <c:numRef>
              <c:f>[2021年统计公报图.xlsx]住户!$C$2:$C$7</c:f>
              <c:numCache>
                <c:formatCode>0.0%</c:formatCode>
                <c:ptCount val="6"/>
                <c:pt idx="0">
                  <c:v>0.09</c:v>
                </c:pt>
                <c:pt idx="1">
                  <c:v>0.092</c:v>
                </c:pt>
                <c:pt idx="2">
                  <c:v>0.089</c:v>
                </c:pt>
                <c:pt idx="3">
                  <c:v>0.089</c:v>
                </c:pt>
                <c:pt idx="4">
                  <c:v>0.059</c:v>
                </c:pt>
                <c:pt idx="5">
                  <c:v>0.105</c:v>
                </c:pt>
              </c:numCache>
            </c:numRef>
          </c:val>
          <c:smooth val="0"/>
        </c:ser>
        <c:dLbls>
          <c:showLegendKey val="0"/>
          <c:showVal val="1"/>
          <c:showCatName val="0"/>
          <c:showSerName val="0"/>
          <c:showPercent val="0"/>
          <c:showBubbleSize val="0"/>
        </c:dLbls>
        <c:marker val="1"/>
        <c:smooth val="0"/>
        <c:axId val="156567808"/>
        <c:axId val="156566272"/>
      </c:lineChart>
      <c:catAx>
        <c:axId val="15649331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56494848"/>
        <c:crosses val="autoZero"/>
        <c:auto val="1"/>
        <c:lblAlgn val="ctr"/>
        <c:lblOffset val="100"/>
        <c:noMultiLvlLbl val="0"/>
      </c:catAx>
      <c:valAx>
        <c:axId val="156494848"/>
        <c:scaling>
          <c:orientation val="minMax"/>
        </c:scaling>
        <c:delete val="0"/>
        <c:axPos val="l"/>
        <c:numFmt formatCode="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56493312"/>
        <c:crosses val="autoZero"/>
        <c:crossBetween val="between"/>
      </c:valAx>
      <c:catAx>
        <c:axId val="156567808"/>
        <c:scaling>
          <c:orientation val="minMax"/>
        </c:scaling>
        <c:delete val="1"/>
        <c:axPos val="b"/>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56566272"/>
        <c:crosses val="autoZero"/>
        <c:auto val="1"/>
        <c:lblAlgn val="ctr"/>
        <c:lblOffset val="100"/>
        <c:noMultiLvlLbl val="0"/>
      </c:catAx>
      <c:valAx>
        <c:axId val="156566272"/>
        <c:scaling>
          <c:orientation val="minMax"/>
        </c:scaling>
        <c:delete val="0"/>
        <c:axPos val="r"/>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56567808"/>
        <c:crosses val="max"/>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r">
              <a:defRPr lang="zh-CN" sz="1800" b="1" i="0" u="none" strike="noStrike" kern="1200" baseline="0">
                <a:solidFill>
                  <a:schemeClr val="tx1"/>
                </a:solidFill>
                <a:latin typeface="Times New Roman" panose="02020603050405020304" charset="0"/>
                <a:ea typeface="+mn-ea"/>
                <a:cs typeface="Times New Roman" panose="02020603050405020304" charset="0"/>
              </a:defRPr>
            </a:pPr>
            <a:r>
              <a:rPr lang="zh-CN" sz="1600"/>
              <a:t>图</a:t>
            </a:r>
            <a:r>
              <a:rPr lang="en-US" sz="1600"/>
              <a:t>2   2016-2021</a:t>
            </a:r>
            <a:r>
              <a:rPr lang="zh-CN" sz="1600"/>
              <a:t>年全区三次产业结构图</a:t>
            </a:r>
            <a:endParaRPr lang="en-US" sz="1600"/>
          </a:p>
          <a:p>
            <a:pPr algn="r">
              <a:defRPr lang="zh-CN" sz="1800" b="1" i="0" u="none" strike="noStrike" kern="1200" baseline="0">
                <a:solidFill>
                  <a:schemeClr val="tx1"/>
                </a:solidFill>
                <a:latin typeface="Times New Roman" panose="02020603050405020304" charset="0"/>
                <a:ea typeface="+mn-ea"/>
                <a:cs typeface="Times New Roman" panose="02020603050405020304" charset="0"/>
              </a:defRPr>
            </a:pPr>
            <a:r>
              <a:rPr lang="zh-CN" sz="1200"/>
              <a:t>单位：</a:t>
            </a:r>
            <a:r>
              <a:rPr lang="en-US" sz="1200"/>
              <a:t>%</a:t>
            </a:r>
            <a:endParaRPr lang="zh-CN" sz="1200"/>
          </a:p>
        </c:rich>
      </c:tx>
      <c:layout/>
      <c:overlay val="0"/>
    </c:title>
    <c:autoTitleDeleted val="0"/>
    <c:plotArea>
      <c:layout/>
      <c:barChart>
        <c:barDir val="col"/>
        <c:grouping val="stacked"/>
        <c:varyColors val="0"/>
        <c:ser>
          <c:idx val="0"/>
          <c:order val="0"/>
          <c:tx>
            <c:strRef>
              <c:f>[2021年统计公报图.xlsx]三次产业结构!$A$2</c:f>
              <c:strCache>
                <c:ptCount val="1"/>
                <c:pt idx="0">
                  <c:v>第一产业</c:v>
                </c:pt>
              </c:strCache>
            </c:strRef>
          </c:tx>
          <c:spPr>
            <a:solidFill>
              <a:schemeClr val="bg1">
                <a:lumMod val="50000"/>
              </a:schemeClr>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[2021年统计公报图.xlsx]三次产业结构!$B$1:$G$1</c:f>
              <c:numCache>
                <c:formatCode>General</c:formatCode>
                <c:ptCount val="6"/>
                <c:pt idx="0">
                  <c:v>2016</c:v>
                </c:pt>
                <c:pt idx="1">
                  <c:v>2017</c:v>
                </c:pt>
                <c:pt idx="2">
                  <c:v>2018</c:v>
                </c:pt>
                <c:pt idx="3">
                  <c:v>2019</c:v>
                </c:pt>
                <c:pt idx="4">
                  <c:v>2020</c:v>
                </c:pt>
                <c:pt idx="5">
                  <c:v>2021</c:v>
                </c:pt>
              </c:numCache>
            </c:numRef>
          </c:cat>
          <c:val>
            <c:numRef>
              <c:f>[2021年统计公报图.xlsx]三次产业结构!$B$2:$G$2</c:f>
              <c:numCache>
                <c:formatCode>0.0_ </c:formatCode>
                <c:ptCount val="6"/>
                <c:pt idx="0">
                  <c:v>7.5548801080716</c:v>
                </c:pt>
                <c:pt idx="1">
                  <c:v>7.1263018016626</c:v>
                </c:pt>
                <c:pt idx="2">
                  <c:v>6.88754270620998</c:v>
                </c:pt>
                <c:pt idx="3">
                  <c:v>6.6</c:v>
                </c:pt>
                <c:pt idx="4">
                  <c:v>6.82753831655176</c:v>
                </c:pt>
                <c:pt idx="5">
                  <c:v>6.75993188333944</c:v>
                </c:pt>
              </c:numCache>
            </c:numRef>
          </c:val>
        </c:ser>
        <c:ser>
          <c:idx val="1"/>
          <c:order val="1"/>
          <c:tx>
            <c:strRef>
              <c:f>[2021年统计公报图.xlsx]三次产业结构!$A$3</c:f>
              <c:strCache>
                <c:ptCount val="1"/>
                <c:pt idx="0">
                  <c:v>第二产业</c:v>
                </c:pt>
              </c:strCache>
            </c:strRef>
          </c:tx>
          <c:spPr>
            <a:solidFill>
              <a:schemeClr val="tx2">
                <a:lumMod val="60000"/>
                <a:lumOff val="40000"/>
              </a:schemeClr>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[2021年统计公报图.xlsx]三次产业结构!$B$1:$G$1</c:f>
              <c:numCache>
                <c:formatCode>General</c:formatCode>
                <c:ptCount val="6"/>
                <c:pt idx="0">
                  <c:v>2016</c:v>
                </c:pt>
                <c:pt idx="1">
                  <c:v>2017</c:v>
                </c:pt>
                <c:pt idx="2">
                  <c:v>2018</c:v>
                </c:pt>
                <c:pt idx="3">
                  <c:v>2019</c:v>
                </c:pt>
                <c:pt idx="4">
                  <c:v>2020</c:v>
                </c:pt>
                <c:pt idx="5">
                  <c:v>2021</c:v>
                </c:pt>
              </c:numCache>
            </c:numRef>
          </c:cat>
          <c:val>
            <c:numRef>
              <c:f>[2021年统计公报图.xlsx]三次产业结构!$B$3:$G$3</c:f>
              <c:numCache>
                <c:formatCode>0.0_ </c:formatCode>
                <c:ptCount val="6"/>
                <c:pt idx="0">
                  <c:v>26.7173252279635</c:v>
                </c:pt>
                <c:pt idx="1">
                  <c:v>26.5830217250224</c:v>
                </c:pt>
                <c:pt idx="2">
                  <c:v>26.4247365852258</c:v>
                </c:pt>
                <c:pt idx="3">
                  <c:v>26.4</c:v>
                </c:pt>
                <c:pt idx="4">
                  <c:v>25.3881255890085</c:v>
                </c:pt>
                <c:pt idx="5">
                  <c:v>26.9168588734884</c:v>
                </c:pt>
              </c:numCache>
            </c:numRef>
          </c:val>
        </c:ser>
        <c:ser>
          <c:idx val="2"/>
          <c:order val="2"/>
          <c:tx>
            <c:strRef>
              <c:f>[2021年统计公报图.xlsx]三次产业结构!$A$4</c:f>
              <c:strCache>
                <c:ptCount val="1"/>
                <c:pt idx="0">
                  <c:v>第三产业</c:v>
                </c:pt>
              </c:strCache>
            </c:strRef>
          </c:tx>
          <c:spPr>
            <a:solidFill>
              <a:schemeClr val="accent4">
                <a:lumMod val="60000"/>
                <a:lumOff val="40000"/>
              </a:schemeClr>
            </a:solidFill>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[2021年统计公报图.xlsx]三次产业结构!$B$1:$G$1</c:f>
              <c:numCache>
                <c:formatCode>General</c:formatCode>
                <c:ptCount val="6"/>
                <c:pt idx="0">
                  <c:v>2016</c:v>
                </c:pt>
                <c:pt idx="1">
                  <c:v>2017</c:v>
                </c:pt>
                <c:pt idx="2">
                  <c:v>2018</c:v>
                </c:pt>
                <c:pt idx="3">
                  <c:v>2019</c:v>
                </c:pt>
                <c:pt idx="4">
                  <c:v>2020</c:v>
                </c:pt>
                <c:pt idx="5">
                  <c:v>2021</c:v>
                </c:pt>
              </c:numCache>
            </c:numRef>
          </c:cat>
          <c:val>
            <c:numRef>
              <c:f>[2021年统计公报图.xlsx]三次产业结构!$B$4:$G$4</c:f>
              <c:numCache>
                <c:formatCode>0.0_ </c:formatCode>
                <c:ptCount val="6"/>
                <c:pt idx="0">
                  <c:v>65.7277946639649</c:v>
                </c:pt>
                <c:pt idx="1">
                  <c:v>66.290676473315</c:v>
                </c:pt>
                <c:pt idx="2">
                  <c:v>66.6877207085642</c:v>
                </c:pt>
                <c:pt idx="3">
                  <c:v>67</c:v>
                </c:pt>
                <c:pt idx="4">
                  <c:v>67.7843360944398</c:v>
                </c:pt>
                <c:pt idx="5">
                  <c:v>66.3253648336962</c:v>
                </c:pt>
              </c:numCache>
            </c:numRef>
          </c:val>
        </c:ser>
        <c:dLbls>
          <c:showLegendKey val="0"/>
          <c:showVal val="1"/>
          <c:showCatName val="0"/>
          <c:showSerName val="0"/>
          <c:showPercent val="0"/>
          <c:showBubbleSize val="0"/>
        </c:dLbls>
        <c:gapWidth val="150"/>
        <c:overlap val="100"/>
        <c:axId val="154542848"/>
        <c:axId val="154544384"/>
      </c:barChart>
      <c:catAx>
        <c:axId val="15454284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54544384"/>
        <c:crosses val="autoZero"/>
        <c:auto val="1"/>
        <c:lblAlgn val="ctr"/>
        <c:lblOffset val="100"/>
        <c:noMultiLvlLbl val="0"/>
      </c:catAx>
      <c:valAx>
        <c:axId val="154544384"/>
        <c:scaling>
          <c:orientation val="minMax"/>
          <c:max val="100"/>
        </c:scaling>
        <c:delete val="0"/>
        <c:axPos val="l"/>
        <c:numFmt formatCode="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54542848"/>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atin typeface="Times New Roman" panose="02020603050405020304" charset="0"/>
                <a:ea typeface="Times New Roman" panose="02020603050405020304" charset="0"/>
                <a:cs typeface="Times New Roman" panose="02020603050405020304" charset="0"/>
                <a:sym typeface="Times New Roman" panose="02020603050405020304" charset="0"/>
              </a:rPr>
              <a:t>图</a:t>
            </a:r>
            <a:r>
              <a:rPr lang="en-US" altLang="zh-CN">
                <a:latin typeface="Times New Roman" panose="02020603050405020304" charset="0"/>
                <a:ea typeface="Times New Roman" panose="02020603050405020304" charset="0"/>
                <a:cs typeface="Times New Roman" panose="02020603050405020304" charset="0"/>
                <a:sym typeface="Times New Roman" panose="02020603050405020304" charset="0"/>
              </a:rPr>
              <a:t>3  </a:t>
            </a:r>
            <a:r>
              <a:rPr>
                <a:latin typeface="Times New Roman" panose="02020603050405020304" charset="0"/>
                <a:ea typeface="Times New Roman" panose="02020603050405020304" charset="0"/>
                <a:cs typeface="Times New Roman" panose="02020603050405020304" charset="0"/>
                <a:sym typeface="Times New Roman" panose="02020603050405020304" charset="0"/>
              </a:rPr>
              <a:t> 2021年农林牧渔产值构成示意图</a:t>
            </a:r>
            <a:endParaRPr>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view3D>
      <c:rotX val="30"/>
      <c:rotY val="0"/>
      <c:depthPercent val="100"/>
      <c:rAngAx val="0"/>
      <c:perspective val="3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9525"/>
          </c:spPr>
          <c:explosion val="0"/>
          <c:dPt>
            <c:idx val="0"/>
            <c:bubble3D val="0"/>
            <c:spPr>
              <a:solidFill>
                <a:schemeClr val="accent1"/>
              </a:solidFill>
              <a:ln>
                <a:noFill/>
              </a:ln>
              <a:effectLst>
                <a:outerShdw blurRad="88900" sx="102000" sy="102000" algn="ctr" rotWithShape="0">
                  <a:prstClr val="black">
                    <a:alpha val="10000"/>
                  </a:prstClr>
                </a:outerShdw>
              </a:effectLst>
            </c:spPr>
          </c:dPt>
          <c:dPt>
            <c:idx val="1"/>
            <c:bubble3D val="0"/>
            <c:spPr>
              <a:solidFill>
                <a:schemeClr val="accent2"/>
              </a:solidFill>
              <a:ln>
                <a:noFill/>
              </a:ln>
              <a:effectLst>
                <a:outerShdw blurRad="88900" sx="102000" sy="102000" algn="ctr" rotWithShape="0">
                  <a:prstClr val="black">
                    <a:alpha val="10000"/>
                  </a:prstClr>
                </a:outerShdw>
              </a:effectLst>
            </c:spPr>
          </c:dPt>
          <c:dPt>
            <c:idx val="2"/>
            <c:bubble3D val="0"/>
            <c:spPr>
              <a:solidFill>
                <a:schemeClr val="accent3"/>
              </a:solidFill>
              <a:ln>
                <a:noFill/>
              </a:ln>
              <a:effectLst>
                <a:outerShdw blurRad="88900" sx="102000" sy="102000" algn="ctr" rotWithShape="0">
                  <a:prstClr val="black">
                    <a:alpha val="10000"/>
                  </a:prstClr>
                </a:outerShdw>
              </a:effectLst>
            </c:spPr>
          </c:dPt>
          <c:dPt>
            <c:idx val="3"/>
            <c:bubble3D val="0"/>
            <c:spPr>
              <a:solidFill>
                <a:schemeClr val="accent4"/>
              </a:solidFill>
              <a:ln>
                <a:noFill/>
              </a:ln>
              <a:effectLst>
                <a:outerShdw blurRad="88900" sx="102000" sy="102000" algn="ctr" rotWithShape="0">
                  <a:prstClr val="black">
                    <a:alpha val="10000"/>
                  </a:prstClr>
                </a:outerShdw>
              </a:effectLst>
            </c:spPr>
          </c:dPt>
          <c:dPt>
            <c:idx val="4"/>
            <c:bubble3D val="0"/>
            <c:spPr>
              <a:solidFill>
                <a:schemeClr val="accent5"/>
              </a:solidFill>
              <a:ln>
                <a:noFill/>
              </a:ln>
              <a:effectLst>
                <a:outerShdw blurRad="88900" sx="102000" sy="102000" algn="ctr" rotWithShape="0">
                  <a:prstClr val="black">
                    <a:alpha val="10000"/>
                  </a:prstClr>
                </a:outerShdw>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3"/>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4"/>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1"/>
              <c:showSerName val="0"/>
              <c:showPercent val="0"/>
              <c:showBubbleSize val="0"/>
              <c:extLst>
                <c:ext xmlns:c15="http://schemas.microsoft.com/office/drawing/2012/chart" uri="{CE6537A1-D6FC-4f65-9D91-7224C49458BB}"/>
              </c:extLst>
            </c:dLbl>
            <c:dLbl>
              <c:idx val="4"/>
              <c:layout/>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5"/>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out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[2021年统计公报图.xlsx]农业!$B$2:$B$6</c:f>
              <c:strCache>
                <c:ptCount val="5"/>
                <c:pt idx="0">
                  <c:v>农业产值</c:v>
                </c:pt>
                <c:pt idx="1">
                  <c:v>林业产值</c:v>
                </c:pt>
                <c:pt idx="2">
                  <c:v>牧业产值</c:v>
                </c:pt>
                <c:pt idx="3">
                  <c:v>渔业产值</c:v>
                </c:pt>
                <c:pt idx="4">
                  <c:v>农林牧渔服务业产值</c:v>
                </c:pt>
              </c:strCache>
            </c:strRef>
          </c:cat>
          <c:val>
            <c:numRef>
              <c:f>[2021年统计公报图.xlsx]农业!$F$2:$F$6</c:f>
              <c:numCache>
                <c:formatCode>0.0%</c:formatCode>
                <c:ptCount val="5"/>
                <c:pt idx="0">
                  <c:v>0.545989847715736</c:v>
                </c:pt>
                <c:pt idx="1">
                  <c:v>0.0231472081218274</c:v>
                </c:pt>
                <c:pt idx="2">
                  <c:v>0.21746192893401</c:v>
                </c:pt>
                <c:pt idx="3">
                  <c:v>0.155736040609137</c:v>
                </c:pt>
                <c:pt idx="4">
                  <c:v>0.0576649746192893</c:v>
                </c:pt>
              </c:numCache>
            </c:numRef>
          </c:val>
        </c:ser>
        <c:dLbls>
          <c:showLegendKey val="0"/>
          <c:showVal val="1"/>
          <c:showCatName val="0"/>
          <c:showSerName val="0"/>
          <c:showPercent val="0"/>
          <c:showBubbleSize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0" vertOverflow="ellipsis" vert="horz" wrap="square" anchor="ctr" anchorCtr="1"/>
          <a:lstStyle/>
          <a:p>
            <a:pPr algn="r">
              <a:defRPr lang="zh-CN" sz="1800" b="1" i="0" u="none" strike="noStrike" kern="1200" baseline="0">
                <a:solidFill>
                  <a:schemeClr val="tx1"/>
                </a:solidFill>
                <a:latin typeface="Times New Roman" panose="02020603050405020304" charset="0"/>
                <a:ea typeface="+mn-ea"/>
                <a:cs typeface="Times New Roman" panose="02020603050405020304" charset="0"/>
              </a:defRPr>
            </a:pPr>
            <a:r>
              <a:rPr lang="zh-CN" sz="1600"/>
              <a:t>图</a:t>
            </a:r>
            <a:r>
              <a:rPr lang="en-US" sz="1600"/>
              <a:t>4   2016-2021 </a:t>
            </a:r>
            <a:r>
              <a:rPr lang="zh-CN" sz="1600"/>
              <a:t>年全区粮食总产量情况</a:t>
            </a:r>
            <a:endParaRPr lang="en-US" sz="1600"/>
          </a:p>
          <a:p>
            <a:pPr algn="r">
              <a:defRPr lang="zh-CN" sz="1800" b="1" i="0" u="none" strike="noStrike" kern="1200" baseline="0">
                <a:solidFill>
                  <a:schemeClr val="tx1"/>
                </a:solidFill>
                <a:latin typeface="Times New Roman" panose="02020603050405020304" charset="0"/>
                <a:ea typeface="+mn-ea"/>
                <a:cs typeface="Times New Roman" panose="02020603050405020304" charset="0"/>
              </a:defRPr>
            </a:pPr>
            <a:r>
              <a:rPr lang="zh-CN" sz="1100"/>
              <a:t>（单位：万吨）</a:t>
            </a:r>
            <a:endParaRPr lang="zh-CN" sz="1100"/>
          </a:p>
        </c:rich>
      </c:tx>
      <c:layout/>
      <c:overlay val="0"/>
    </c:title>
    <c:autoTitleDeleted val="0"/>
    <c:plotArea>
      <c:layout/>
      <c:barChart>
        <c:barDir val="col"/>
        <c:grouping val="clustered"/>
        <c:varyColors val="0"/>
        <c:ser>
          <c:idx val="1"/>
          <c:order val="0"/>
          <c:tx>
            <c:strRef>
              <c:f>[2021年统计公报图.xlsx]粮食产量!$B$1</c:f>
              <c:strCache>
                <c:ptCount val="1"/>
                <c:pt idx="0">
                  <c:v>粮食产量(万吨）</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[2021年统计公报图.xlsx]粮食产量!$A$2:$A$7</c:f>
              <c:numCache>
                <c:formatCode>General</c:formatCode>
                <c:ptCount val="6"/>
                <c:pt idx="0">
                  <c:v>2016</c:v>
                </c:pt>
                <c:pt idx="1">
                  <c:v>2017</c:v>
                </c:pt>
                <c:pt idx="2">
                  <c:v>2018</c:v>
                </c:pt>
                <c:pt idx="3">
                  <c:v>2019</c:v>
                </c:pt>
                <c:pt idx="4">
                  <c:v>2020</c:v>
                </c:pt>
                <c:pt idx="5">
                  <c:v>2021</c:v>
                </c:pt>
              </c:numCache>
            </c:numRef>
          </c:cat>
          <c:val>
            <c:numRef>
              <c:f>[2021年统计公报图.xlsx]粮食产量!$B$2:$B$7</c:f>
              <c:numCache>
                <c:formatCode>0.00_ </c:formatCode>
                <c:ptCount val="6"/>
                <c:pt idx="0">
                  <c:v>34.8856</c:v>
                </c:pt>
                <c:pt idx="1">
                  <c:v>34.9283</c:v>
                </c:pt>
                <c:pt idx="2">
                  <c:v>34.9984</c:v>
                </c:pt>
                <c:pt idx="3">
                  <c:v>35.52</c:v>
                </c:pt>
                <c:pt idx="4">
                  <c:v>35.73</c:v>
                </c:pt>
                <c:pt idx="5" c:formatCode="General">
                  <c:v>35.89</c:v>
                </c:pt>
              </c:numCache>
            </c:numRef>
          </c:val>
        </c:ser>
        <c:dLbls>
          <c:showLegendKey val="0"/>
          <c:showVal val="1"/>
          <c:showCatName val="0"/>
          <c:showSerName val="0"/>
          <c:showPercent val="0"/>
          <c:showBubbleSize val="0"/>
        </c:dLbls>
        <c:gapWidth val="150"/>
        <c:axId val="158966528"/>
        <c:axId val="158968064"/>
      </c:barChart>
      <c:catAx>
        <c:axId val="1589665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58968064"/>
        <c:crosses val="autoZero"/>
        <c:auto val="1"/>
        <c:lblAlgn val="ctr"/>
        <c:lblOffset val="100"/>
        <c:noMultiLvlLbl val="0"/>
      </c:catAx>
      <c:valAx>
        <c:axId val="158968064"/>
        <c:scaling>
          <c:orientation val="minMax"/>
        </c:scaling>
        <c:delete val="0"/>
        <c:axPos val="l"/>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58966528"/>
        <c:crosses val="autoZero"/>
        <c:crossBetween val="between"/>
      </c:valAx>
    </c:plotArea>
    <c:plotVisOnly val="1"/>
    <c:dispBlanksAs val="gap"/>
    <c:showDLblsOverMax val="0"/>
  </c:chart>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zh-CN" sz="1600">
                <a:latin typeface="Times New Roman" panose="02020603050405020304" charset="0"/>
                <a:ea typeface="Times New Roman" panose="02020603050405020304" charset="0"/>
                <a:cs typeface="Times New Roman" panose="02020603050405020304" charset="0"/>
                <a:sym typeface="Times New Roman" panose="02020603050405020304" charset="0"/>
              </a:rPr>
              <a:t>图</a:t>
            </a:r>
            <a:r>
              <a:rPr lang="en-US" sz="1600">
                <a:latin typeface="Times New Roman" panose="02020603050405020304" charset="0"/>
                <a:ea typeface="Times New Roman" panose="02020603050405020304" charset="0"/>
                <a:cs typeface="Times New Roman" panose="02020603050405020304" charset="0"/>
                <a:sym typeface="Times New Roman" panose="02020603050405020304" charset="0"/>
              </a:rPr>
              <a:t>5   2016-2021</a:t>
            </a:r>
            <a:r>
              <a:rPr lang="zh-CN" sz="1600">
                <a:latin typeface="Times New Roman" panose="02020603050405020304" charset="0"/>
                <a:ea typeface="Times New Roman" panose="02020603050405020304" charset="0"/>
                <a:cs typeface="Times New Roman" panose="02020603050405020304" charset="0"/>
                <a:sym typeface="Times New Roman" panose="02020603050405020304" charset="0"/>
              </a:rPr>
              <a:t>年规上工业增加值增速</a:t>
            </a:r>
            <a:endParaRPr lang="zh-CN" sz="160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111048556430446"/>
          <c:y val="0.0138888888888889"/>
        </c:manualLayout>
      </c:layout>
      <c:overlay val="0"/>
    </c:title>
    <c:autoTitleDeleted val="0"/>
    <c:plotArea>
      <c:layout>
        <c:manualLayout>
          <c:layoutTarget val="inner"/>
          <c:xMode val="edge"/>
          <c:yMode val="edge"/>
          <c:x val="0.126377296587927"/>
          <c:y val="0.201400554097405"/>
          <c:w val="0.748176071741032"/>
          <c:h val="0.536730096237971"/>
        </c:manualLayout>
      </c:layout>
      <c:lineChart>
        <c:grouping val="standard"/>
        <c:varyColors val="0"/>
        <c:ser>
          <c:idx val="1"/>
          <c:order val="0"/>
          <c:tx>
            <c:strRef>
              <c:f>[2021年统计公报图.xlsx]工业增加值!$C$1</c:f>
              <c:strCache>
                <c:ptCount val="1"/>
                <c:pt idx="0">
                  <c:v>增速</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[2021年统计公报图.xlsx]工业增加值!$A$2:$A$7</c:f>
              <c:numCache>
                <c:formatCode>General</c:formatCode>
                <c:ptCount val="6"/>
                <c:pt idx="0">
                  <c:v>2016</c:v>
                </c:pt>
                <c:pt idx="1">
                  <c:v>2017</c:v>
                </c:pt>
                <c:pt idx="2">
                  <c:v>2018</c:v>
                </c:pt>
                <c:pt idx="3">
                  <c:v>2019</c:v>
                </c:pt>
                <c:pt idx="4">
                  <c:v>2020</c:v>
                </c:pt>
                <c:pt idx="5">
                  <c:v>2021</c:v>
                </c:pt>
              </c:numCache>
            </c:numRef>
          </c:cat>
          <c:val>
            <c:numRef>
              <c:f>[2021年统计公报图.xlsx]工业增加值!$C$2:$C$7</c:f>
              <c:numCache>
                <c:formatCode>0.0%</c:formatCode>
                <c:ptCount val="6"/>
                <c:pt idx="0">
                  <c:v>0.109</c:v>
                </c:pt>
                <c:pt idx="1">
                  <c:v>0.082</c:v>
                </c:pt>
                <c:pt idx="2">
                  <c:v>0.062</c:v>
                </c:pt>
                <c:pt idx="3">
                  <c:v>0.105</c:v>
                </c:pt>
                <c:pt idx="4">
                  <c:v>0.06</c:v>
                </c:pt>
                <c:pt idx="5">
                  <c:v>0.183</c:v>
                </c:pt>
              </c:numCache>
            </c:numRef>
          </c:val>
          <c:smooth val="0"/>
        </c:ser>
        <c:dLbls>
          <c:showLegendKey val="0"/>
          <c:showVal val="1"/>
          <c:showCatName val="0"/>
          <c:showSerName val="0"/>
          <c:showPercent val="0"/>
          <c:showBubbleSize val="0"/>
        </c:dLbls>
        <c:marker val="1"/>
        <c:smooth val="0"/>
        <c:axId val="161052928"/>
        <c:axId val="161378304"/>
      </c:lineChart>
      <c:catAx>
        <c:axId val="16105292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61378304"/>
        <c:crosses val="autoZero"/>
        <c:auto val="1"/>
        <c:lblAlgn val="ctr"/>
        <c:lblOffset val="100"/>
        <c:noMultiLvlLbl val="0"/>
      </c:catAx>
      <c:valAx>
        <c:axId val="161378304"/>
        <c:scaling>
          <c:orientation val="minMax"/>
        </c:scaling>
        <c:delete val="0"/>
        <c:axPos val="l"/>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61052928"/>
        <c:crosses val="autoZero"/>
        <c:crossBetween val="between"/>
      </c:valAx>
    </c:plotArea>
    <c:legend>
      <c:legendPos val="b"/>
      <c:legendEntry>
        <c:idx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txPr>
        <a:bodyPr rot="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txPr>
    <a:bodyPr/>
    <a:lstStyle/>
    <a:p>
      <a:pPr>
        <a:defRPr lang="zh-CN">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Times New Roman" panose="02020603050405020304" charset="0"/>
                <a:ea typeface="+mn-ea"/>
                <a:cs typeface="Times New Roman" panose="02020603050405020304" charset="0"/>
              </a:defRPr>
            </a:pPr>
            <a:r>
              <a:rPr lang="zh-CN" sz="1600"/>
              <a:t>图</a:t>
            </a:r>
            <a:r>
              <a:rPr lang="en-US" sz="1600"/>
              <a:t>6  2016-2021</a:t>
            </a:r>
            <a:r>
              <a:rPr lang="zh-CN" sz="1600"/>
              <a:t>年全区固定资产投资增速</a:t>
            </a:r>
            <a:endParaRPr lang="zh-CN" sz="1600"/>
          </a:p>
        </c:rich>
      </c:tx>
      <c:layout/>
      <c:overlay val="0"/>
    </c:title>
    <c:autoTitleDeleted val="0"/>
    <c:plotArea>
      <c:layout/>
      <c:lineChart>
        <c:grouping val="standard"/>
        <c:varyColors val="0"/>
        <c:ser>
          <c:idx val="1"/>
          <c:order val="0"/>
          <c:tx>
            <c:strRef>
              <c:f>[2021年统计公报图.xlsx]投资!$B$1</c:f>
              <c:strCache>
                <c:ptCount val="1"/>
                <c:pt idx="0">
                  <c:v>增速</c:v>
                </c:pt>
              </c:strCache>
            </c:strRef>
          </c:tx>
          <c:marker>
            <c:symbol val="star"/>
            <c:size val="8"/>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[2021年统计公报图.xlsx]投资!$A$2:$A$7</c:f>
              <c:numCache>
                <c:formatCode>@</c:formatCode>
                <c:ptCount val="6"/>
                <c:pt idx="0" c:formatCode="@">
                  <c:v>2016</c:v>
                </c:pt>
                <c:pt idx="1" c:formatCode="@">
                  <c:v>2017</c:v>
                </c:pt>
                <c:pt idx="2" c:formatCode="@">
                  <c:v>2018</c:v>
                </c:pt>
                <c:pt idx="3" c:formatCode="@">
                  <c:v>2019</c:v>
                </c:pt>
                <c:pt idx="4" c:formatCode="@">
                  <c:v>2020</c:v>
                </c:pt>
                <c:pt idx="5" c:formatCode="@">
                  <c:v>2021</c:v>
                </c:pt>
              </c:numCache>
            </c:numRef>
          </c:cat>
          <c:val>
            <c:numRef>
              <c:f>[2021年统计公报图.xlsx]投资!$B$2:$B$7</c:f>
              <c:numCache>
                <c:formatCode>0.0%</c:formatCode>
                <c:ptCount val="6"/>
                <c:pt idx="0">
                  <c:v>0.134</c:v>
                </c:pt>
                <c:pt idx="1">
                  <c:v>0.091</c:v>
                </c:pt>
                <c:pt idx="2">
                  <c:v>0.073</c:v>
                </c:pt>
                <c:pt idx="3">
                  <c:v>0.073</c:v>
                </c:pt>
                <c:pt idx="4">
                  <c:v>0.13</c:v>
                </c:pt>
                <c:pt idx="5">
                  <c:v>0.087</c:v>
                </c:pt>
              </c:numCache>
            </c:numRef>
          </c:val>
          <c:smooth val="0"/>
        </c:ser>
        <c:dLbls>
          <c:showLegendKey val="0"/>
          <c:showVal val="1"/>
          <c:showCatName val="0"/>
          <c:showSerName val="0"/>
          <c:showPercent val="0"/>
          <c:showBubbleSize val="0"/>
        </c:dLbls>
        <c:marker val="1"/>
        <c:smooth val="0"/>
        <c:axId val="182705152"/>
        <c:axId val="182706944"/>
      </c:lineChart>
      <c:catAx>
        <c:axId val="182705152"/>
        <c:scaling>
          <c:orientation val="minMax"/>
        </c:scaling>
        <c:delete val="0"/>
        <c:axPos val="b"/>
        <c:numFmt formatCode="@"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82706944"/>
        <c:crosses val="autoZero"/>
        <c:auto val="1"/>
        <c:lblAlgn val="ctr"/>
        <c:lblOffset val="100"/>
        <c:noMultiLvlLbl val="0"/>
      </c:catAx>
      <c:valAx>
        <c:axId val="182706944"/>
        <c:scaling>
          <c:orientation val="minMax"/>
        </c:scaling>
        <c:delete val="0"/>
        <c:axPos val="l"/>
        <c:numFmt formatCode="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82705152"/>
        <c:crosses val="autoZero"/>
        <c:crossBetween val="between"/>
      </c:valAx>
      <c:spPr>
        <a:noFill/>
        <a:ln w="25400">
          <a:noFill/>
        </a:ln>
      </c:spPr>
    </c:plotArea>
    <c:plotVisOnly val="1"/>
    <c:dispBlanksAs val="gap"/>
    <c:showDLblsOverMax val="0"/>
  </c:chart>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alt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图</a:t>
            </a:r>
            <a:r>
              <a:rPr lang="en-US" altLang="zh-CN">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7   2016-2021</a:t>
            </a:r>
            <a:r>
              <a:rPr alt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年全区社会消费品零售总额</a:t>
            </a:r>
            <a:endParaRPr altLang="en-US">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170208333333333"/>
          <c:y val="0.025"/>
        </c:manualLayout>
      </c:layout>
      <c:overlay val="0"/>
      <c:spPr>
        <a:noFill/>
        <a:ln>
          <a:noFill/>
        </a:ln>
        <a:effectLst/>
      </c:spPr>
    </c:title>
    <c:autoTitleDeleted val="0"/>
    <c:plotArea>
      <c:layout/>
      <c:barChart>
        <c:barDir val="col"/>
        <c:grouping val="clustered"/>
        <c:varyColors val="0"/>
        <c:ser>
          <c:idx val="0"/>
          <c:order val="0"/>
          <c:tx>
            <c:strRef>
              <c:f>[2021年统计公报图.xlsx]消费!$E$1</c:f>
              <c:strCache>
                <c:ptCount val="1"/>
                <c:pt idx="0">
                  <c:v>总额</c:v>
                </c:pt>
              </c:strCache>
            </c:strRef>
          </c:tx>
          <c:spPr>
            <a:solidFill>
              <a:schemeClr val="accent4">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[2021年统计公报图.xlsx]消费!$D$2:$D$7</c:f>
              <c:numCache>
                <c:formatCode>General</c:formatCode>
                <c:ptCount val="6"/>
                <c:pt idx="0">
                  <c:v>2016</c:v>
                </c:pt>
                <c:pt idx="1">
                  <c:v>2017</c:v>
                </c:pt>
                <c:pt idx="2">
                  <c:v>2018</c:v>
                </c:pt>
                <c:pt idx="3">
                  <c:v>2019</c:v>
                </c:pt>
                <c:pt idx="4">
                  <c:v>2020</c:v>
                </c:pt>
                <c:pt idx="5">
                  <c:v>2021</c:v>
                </c:pt>
              </c:numCache>
            </c:numRef>
          </c:cat>
          <c:val>
            <c:numRef>
              <c:f>[2021年统计公报图.xlsx]消费!$E$2:$E$7</c:f>
              <c:numCache>
                <c:formatCode>General</c:formatCode>
                <c:ptCount val="6"/>
                <c:pt idx="0">
                  <c:v>178.64</c:v>
                </c:pt>
                <c:pt idx="1">
                  <c:v>197.85</c:v>
                </c:pt>
                <c:pt idx="2">
                  <c:v>209.1</c:v>
                </c:pt>
                <c:pt idx="3">
                  <c:v>222.58</c:v>
                </c:pt>
                <c:pt idx="4">
                  <c:v>264.58</c:v>
                </c:pt>
                <c:pt idx="5">
                  <c:v>308.56</c:v>
                </c:pt>
              </c:numCache>
            </c:numRef>
          </c:val>
        </c:ser>
        <c:dLbls>
          <c:showLegendKey val="0"/>
          <c:showVal val="1"/>
          <c:showCatName val="0"/>
          <c:showSerName val="0"/>
          <c:showPercent val="0"/>
          <c:showBubbleSize val="0"/>
        </c:dLbls>
        <c:gapWidth val="219"/>
        <c:overlap val="-27"/>
        <c:axId val="128735460"/>
        <c:axId val="495993384"/>
      </c:barChart>
      <c:lineChart>
        <c:grouping val="standard"/>
        <c:varyColors val="0"/>
        <c:ser>
          <c:idx val="1"/>
          <c:order val="1"/>
          <c:tx>
            <c:strRef>
              <c:f>[2021年统计公报图.xlsx]消费!$F$1</c:f>
              <c:strCache>
                <c:ptCount val="1"/>
                <c:pt idx="0">
                  <c:v>增速</c:v>
                </c:pt>
              </c:strCache>
            </c:strRef>
          </c:tx>
          <c:spPr>
            <a:ln w="28575" cap="rnd">
              <a:solidFill>
                <a:schemeClr val="accent4">
                  <a:lumMod val="75000"/>
                </a:schemeClr>
              </a:solidFill>
              <a:round/>
            </a:ln>
            <a:effectLst/>
          </c:spPr>
          <c:marker>
            <c:symbol val="triangle"/>
            <c:size val="5"/>
            <c:spPr>
              <a:solidFill>
                <a:schemeClr val="accent4">
                  <a:lumMod val="75000"/>
                </a:schemeClr>
              </a:solidFill>
              <a:ln w="9525">
                <a:solidFill>
                  <a:schemeClr val="accent4">
                    <a:lumMod val="75000"/>
                  </a:schemeClr>
                </a:solidFill>
              </a:ln>
              <a:effectLst/>
            </c:spPr>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[2021年统计公报图.xlsx]消费!$F$2:$F$7</c:f>
              <c:numCache>
                <c:formatCode>0.0%</c:formatCode>
                <c:ptCount val="6"/>
                <c:pt idx="0">
                  <c:v>0.125</c:v>
                </c:pt>
                <c:pt idx="1">
                  <c:v>0.107</c:v>
                </c:pt>
                <c:pt idx="2">
                  <c:v>0.063</c:v>
                </c:pt>
                <c:pt idx="3">
                  <c:v>0.065</c:v>
                </c:pt>
                <c:pt idx="4">
                  <c:v>-0.043</c:v>
                </c:pt>
                <c:pt idx="5">
                  <c:v>0.166</c:v>
                </c:pt>
              </c:numCache>
            </c:numRef>
          </c:val>
          <c:smooth val="0"/>
        </c:ser>
        <c:dLbls>
          <c:showLegendKey val="0"/>
          <c:showVal val="1"/>
          <c:showCatName val="0"/>
          <c:showSerName val="0"/>
          <c:showPercent val="0"/>
          <c:showBubbleSize val="0"/>
        </c:dLbls>
        <c:marker val="1"/>
        <c:smooth val="0"/>
        <c:axId val="498756198"/>
        <c:axId val="512502278"/>
      </c:lineChart>
      <c:catAx>
        <c:axId val="1287354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95993384"/>
        <c:crosses val="autoZero"/>
        <c:auto val="1"/>
        <c:lblAlgn val="ctr"/>
        <c:lblOffset val="100"/>
        <c:noMultiLvlLbl val="0"/>
      </c:catAx>
      <c:valAx>
        <c:axId val="495993384"/>
        <c:scaling>
          <c:orientation val="minMax"/>
        </c:scaling>
        <c:delete val="0"/>
        <c:axPos val="l"/>
        <c:title>
          <c:tx>
            <c:rich>
              <a:bodyPr rot="0" spcFirstLastPara="0" vertOverflow="ellipsis" vert="horz" wrap="square" anchor="ctr" anchorCtr="1"/>
              <a:lstStyle/>
              <a:p>
                <a:pPr defTabSz="914400">
                  <a:defRPr lang="zh-CN" sz="10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t>亿元</a:t>
                </a:r>
              </a:p>
            </c:rich>
          </c:tx>
          <c:layout>
            <c:manualLayout>
              <c:xMode val="edge"/>
              <c:yMode val="edge"/>
              <c:x val="0.0850611376927166"/>
              <c:y val="0.0808487247141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128735460"/>
        <c:crosses val="autoZero"/>
        <c:crossBetween val="between"/>
      </c:valAx>
      <c:catAx>
        <c:axId val="498756198"/>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512502278"/>
        <c:crosses val="autoZero"/>
        <c:auto val="1"/>
        <c:lblAlgn val="ctr"/>
        <c:lblOffset val="100"/>
        <c:noMultiLvlLbl val="0"/>
      </c:catAx>
      <c:valAx>
        <c:axId val="512502278"/>
        <c:scaling>
          <c:orientation val="minMax"/>
        </c:scaling>
        <c:delete val="0"/>
        <c:axPos val="r"/>
        <c:numFmt formatCode="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98756198"/>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Times New Roman" panose="02020603050405020304" charset="0"/>
                <a:ea typeface="+mn-ea"/>
                <a:cs typeface="Times New Roman" panose="02020603050405020304" charset="0"/>
              </a:defRPr>
            </a:pPr>
            <a:r>
              <a:rPr lang="zh-CN" sz="1600"/>
              <a:t>图 </a:t>
            </a:r>
            <a:r>
              <a:rPr lang="en-US" altLang="zh-CN" sz="1600"/>
              <a:t>8  </a:t>
            </a:r>
            <a:r>
              <a:rPr lang="en-US" sz="1600"/>
              <a:t>2016-2021</a:t>
            </a:r>
            <a:r>
              <a:rPr lang="zh-CN" sz="1600"/>
              <a:t>年一般公共财政预算收入情况</a:t>
            </a:r>
            <a:endParaRPr lang="zh-CN" sz="1600"/>
          </a:p>
        </c:rich>
      </c:tx>
      <c:layout>
        <c:manualLayout>
          <c:xMode val="edge"/>
          <c:yMode val="edge"/>
          <c:x val="0.1540570858781"/>
          <c:y val="0.00619834710743802"/>
        </c:manualLayout>
      </c:layout>
      <c:overlay val="0"/>
    </c:title>
    <c:autoTitleDeleted val="0"/>
    <c:plotArea>
      <c:layout>
        <c:manualLayout>
          <c:layoutTarget val="inner"/>
          <c:xMode val="edge"/>
          <c:yMode val="edge"/>
          <c:x val="0.155102998488825"/>
          <c:y val="0.174797092671109"/>
          <c:w val="0.817119223733398"/>
          <c:h val="0.686395787065079"/>
        </c:manualLayout>
      </c:layout>
      <c:barChart>
        <c:barDir val="col"/>
        <c:grouping val="clustered"/>
        <c:varyColors val="0"/>
        <c:ser>
          <c:idx val="0"/>
          <c:order val="0"/>
          <c:tx>
            <c:strRef>
              <c:f>[2021年统计公报图.xlsx]财政!$A$2</c:f>
              <c:strCache>
                <c:ptCount val="1"/>
                <c:pt idx="0">
                  <c:v>公共财政预算收入</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[2021年统计公报图.xlsx]财政!$B$1:$G$1</c:f>
              <c:numCache>
                <c:formatCode>General</c:formatCode>
                <c:ptCount val="6"/>
                <c:pt idx="0">
                  <c:v>2016</c:v>
                </c:pt>
                <c:pt idx="1">
                  <c:v>2017</c:v>
                </c:pt>
                <c:pt idx="2">
                  <c:v>2018</c:v>
                </c:pt>
                <c:pt idx="3">
                  <c:v>2019</c:v>
                </c:pt>
                <c:pt idx="4">
                  <c:v>2020</c:v>
                </c:pt>
                <c:pt idx="5">
                  <c:v>2021</c:v>
                </c:pt>
              </c:numCache>
            </c:numRef>
          </c:cat>
          <c:val>
            <c:numRef>
              <c:f>[2021年统计公报图.xlsx]财政!$B$2:$G$2</c:f>
              <c:numCache>
                <c:formatCode>0.00_ </c:formatCode>
                <c:ptCount val="6"/>
                <c:pt idx="0">
                  <c:v>23.8245</c:v>
                </c:pt>
                <c:pt idx="1">
                  <c:v>20.0909</c:v>
                </c:pt>
                <c:pt idx="2">
                  <c:v>18.9998</c:v>
                </c:pt>
                <c:pt idx="3">
                  <c:v>20.0061</c:v>
                </c:pt>
                <c:pt idx="4">
                  <c:v>20.74667</c:v>
                </c:pt>
                <c:pt idx="5">
                  <c:v>30</c:v>
                </c:pt>
              </c:numCache>
            </c:numRef>
          </c:val>
        </c:ser>
        <c:dLbls>
          <c:showLegendKey val="0"/>
          <c:showVal val="1"/>
          <c:showCatName val="0"/>
          <c:showSerName val="0"/>
          <c:showPercent val="0"/>
          <c:showBubbleSize val="0"/>
        </c:dLbls>
        <c:gapWidth val="150"/>
        <c:axId val="183464704"/>
        <c:axId val="183466240"/>
      </c:barChart>
      <c:catAx>
        <c:axId val="18346470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83466240"/>
        <c:crosses val="autoZero"/>
        <c:auto val="1"/>
        <c:lblAlgn val="ctr"/>
        <c:lblOffset val="100"/>
        <c:noMultiLvlLbl val="0"/>
      </c:catAx>
      <c:valAx>
        <c:axId val="183466240"/>
        <c:scaling>
          <c:orientation val="minMax"/>
        </c:scaling>
        <c:delete val="0"/>
        <c:axPos val="l"/>
        <c:title>
          <c:tx>
            <c:rich>
              <a:bodyPr rot="0" spcFirstLastPara="0" vertOverflow="ellipsis" vert="horz" wrap="square" anchor="ctr" anchorCtr="1"/>
              <a:lstStyle/>
              <a:p>
                <a:pPr>
                  <a:defRPr lang="zh-CN" sz="1000" b="1" i="0" u="none" strike="noStrike" kern="1200" baseline="0">
                    <a:solidFill>
                      <a:schemeClr val="tx1"/>
                    </a:solidFill>
                    <a:latin typeface="Times New Roman" panose="02020603050405020304" charset="0"/>
                    <a:ea typeface="+mn-ea"/>
                    <a:cs typeface="Times New Roman" panose="02020603050405020304" charset="0"/>
                  </a:defRPr>
                </a:pPr>
                <a:r>
                  <a:rPr lang="zh-CN"/>
                  <a:t>亿元</a:t>
                </a:r>
                <a:endParaRPr lang="zh-CN"/>
              </a:p>
            </c:rich>
          </c:tx>
          <c:layout>
            <c:manualLayout>
              <c:xMode val="edge"/>
              <c:yMode val="edge"/>
              <c:x val="0.069026926374552"/>
              <c:y val="0.0764533712608082"/>
            </c:manualLayout>
          </c:layout>
          <c:overlay val="0"/>
        </c:title>
        <c:numFmt formatCode="0.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83464704"/>
        <c:crosses val="autoZero"/>
        <c:crossBetween val="between"/>
      </c:valAx>
    </c:plotArea>
    <c:plotVisOnly val="1"/>
    <c:dispBlanksAs val="gap"/>
    <c:showDLblsOverMax val="0"/>
  </c:chart>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Times New Roman" panose="02020603050405020304" charset="0"/>
                <a:ea typeface="+mn-ea"/>
                <a:cs typeface="Times New Roman" panose="02020603050405020304" charset="0"/>
              </a:defRPr>
            </a:pPr>
            <a:r>
              <a:rPr lang="zh-CN"/>
              <a:t>图</a:t>
            </a:r>
            <a:r>
              <a:rPr lang="en-US"/>
              <a:t>9   2016-2021</a:t>
            </a:r>
            <a:r>
              <a:rPr lang="zh-CN"/>
              <a:t>年全区城镇化率</a:t>
            </a:r>
            <a:endParaRPr lang="zh-CN"/>
          </a:p>
        </c:rich>
      </c:tx>
      <c:layout/>
      <c:overlay val="0"/>
    </c:title>
    <c:autoTitleDeleted val="0"/>
    <c:plotArea>
      <c:layout/>
      <c:lineChart>
        <c:grouping val="standard"/>
        <c:varyColors val="0"/>
        <c:ser>
          <c:idx val="1"/>
          <c:order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[2021年统计公报图.xlsx]城镇化率!$A$2:$A$7</c:f>
              <c:numCache>
                <c:formatCode>General</c:formatCode>
                <c:ptCount val="6"/>
                <c:pt idx="0">
                  <c:v>2016</c:v>
                </c:pt>
                <c:pt idx="1">
                  <c:v>2017</c:v>
                </c:pt>
                <c:pt idx="2">
                  <c:v>2018</c:v>
                </c:pt>
                <c:pt idx="3">
                  <c:v>2019</c:v>
                </c:pt>
                <c:pt idx="4">
                  <c:v>2020</c:v>
                </c:pt>
                <c:pt idx="5">
                  <c:v>2021</c:v>
                </c:pt>
              </c:numCache>
            </c:numRef>
          </c:cat>
          <c:val>
            <c:numRef>
              <c:f>[2021年统计公报图.xlsx]城镇化率!$B$2:$B$7</c:f>
              <c:numCache>
                <c:formatCode>0.00%</c:formatCode>
                <c:ptCount val="6"/>
                <c:pt idx="0">
                  <c:v>0.6258</c:v>
                </c:pt>
                <c:pt idx="1">
                  <c:v>0.6275</c:v>
                </c:pt>
                <c:pt idx="2">
                  <c:v>0.6359</c:v>
                </c:pt>
                <c:pt idx="3">
                  <c:v>0.6455</c:v>
                </c:pt>
                <c:pt idx="4">
                  <c:v>0.6518</c:v>
                </c:pt>
                <c:pt idx="5">
                  <c:v>0.6618</c:v>
                </c:pt>
              </c:numCache>
            </c:numRef>
          </c:val>
          <c:smooth val="0"/>
        </c:ser>
        <c:dLbls>
          <c:showLegendKey val="0"/>
          <c:showVal val="1"/>
          <c:showCatName val="0"/>
          <c:showSerName val="0"/>
          <c:showPercent val="0"/>
          <c:showBubbleSize val="0"/>
        </c:dLbls>
        <c:marker val="1"/>
        <c:smooth val="0"/>
        <c:axId val="156435968"/>
        <c:axId val="156437504"/>
      </c:lineChart>
      <c:catAx>
        <c:axId val="15643596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56437504"/>
        <c:crosses val="autoZero"/>
        <c:auto val="1"/>
        <c:lblAlgn val="ctr"/>
        <c:lblOffset val="100"/>
        <c:noMultiLvlLbl val="0"/>
      </c:catAx>
      <c:valAx>
        <c:axId val="156437504"/>
        <c:scaling>
          <c:orientation val="minMax"/>
        </c:scaling>
        <c:delete val="0"/>
        <c:axPos val="l"/>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156435968"/>
        <c:crosses val="autoZero"/>
        <c:crossBetween val="between"/>
      </c:valAx>
    </c:plotArea>
    <c:plotVisOnly val="1"/>
    <c:dispBlanksAs val="gap"/>
    <c:showDLblsOverMax val="0"/>
  </c:chart>
  <c:txPr>
    <a:bodyPr/>
    <a:lstStyle/>
    <a:p>
      <a:pPr>
        <a:defRPr lang="zh-CN">
          <a:latin typeface="Times New Roman" panose="02020603050405020304" charset="0"/>
          <a:cs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B8E246-A49D-4A77-8597-BED218E5078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5848</Words>
  <Characters>7261</Characters>
  <Lines>55</Lines>
  <Paragraphs>15</Paragraphs>
  <TotalTime>1</TotalTime>
  <ScaleCrop>false</ScaleCrop>
  <LinksUpToDate>false</LinksUpToDate>
  <CharactersWithSpaces>7452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花花</cp:lastModifiedBy>
  <cp:lastPrinted>2022-03-01T06:26:00Z</cp:lastPrinted>
  <dcterms:modified xsi:type="dcterms:W3CDTF">2022-03-18T06:32:16Z</dcterms:modified>
  <cp:revision>1578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B9C56600393E4A3B8547433477B930DC</vt:lpwstr>
  </property>
</Properties>
</file>