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9BE0A">
      <w:pPr>
        <w:pStyle w:val="2"/>
        <w:jc w:val="left"/>
        <w:rPr>
          <w:rFonts w:hint="default" w:ascii="Times New Roman" w:hAnsi="Times New Roman" w:eastAsia="方正公文小标宋" w:cs="Times New Roman"/>
          <w:b w:val="0"/>
          <w:sz w:val="84"/>
          <w:szCs w:val="84"/>
          <w:lang w:eastAsia="zh-CN"/>
        </w:rPr>
      </w:pPr>
    </w:p>
    <w:p w14:paraId="27D8B5A2">
      <w:pPr>
        <w:pStyle w:val="2"/>
        <w:jc w:val="left"/>
        <w:rPr>
          <w:rFonts w:hint="default" w:ascii="Times New Roman" w:hAnsi="Times New Roman" w:eastAsia="方正公文小标宋" w:cs="Times New Roman"/>
          <w:b w:val="0"/>
          <w:sz w:val="84"/>
          <w:szCs w:val="84"/>
          <w:lang w:eastAsia="zh-CN"/>
        </w:rPr>
      </w:pPr>
    </w:p>
    <w:p w14:paraId="3D8D8A20">
      <w:pPr>
        <w:jc w:val="center"/>
        <w:rPr>
          <w:rFonts w:hint="default" w:ascii="Times New Roman" w:hAnsi="Times New Roman" w:eastAsia="方正公文小标宋" w:cs="Times New Roman"/>
          <w:sz w:val="84"/>
          <w:szCs w:val="84"/>
          <w:lang w:val="en-US" w:eastAsia="zh-CN"/>
        </w:rPr>
      </w:pPr>
      <w:r>
        <w:rPr>
          <w:rFonts w:hint="default" w:ascii="Times New Roman" w:hAnsi="Times New Roman" w:eastAsia="方正公文小标宋" w:cs="Times New Roman"/>
          <w:sz w:val="84"/>
          <w:szCs w:val="84"/>
          <w:lang w:val="en-US" w:eastAsia="zh-CN"/>
        </w:rPr>
        <w:t>江苏</w:t>
      </w:r>
      <w:r>
        <w:rPr>
          <w:rFonts w:hint="default" w:ascii="Times New Roman" w:hAnsi="Times New Roman" w:eastAsia="方正公文小标宋" w:cs="Times New Roman"/>
          <w:sz w:val="84"/>
          <w:szCs w:val="84"/>
          <w:lang w:eastAsia="zh-CN"/>
        </w:rPr>
        <w:t>省</w:t>
      </w:r>
      <w:r>
        <w:rPr>
          <w:rFonts w:hint="default" w:ascii="Times New Roman" w:hAnsi="Times New Roman" w:eastAsia="方正公文小标宋" w:cs="Times New Roman"/>
          <w:sz w:val="84"/>
          <w:szCs w:val="84"/>
          <w:lang w:val="en-US" w:eastAsia="zh-CN"/>
        </w:rPr>
        <w:t>宿迁</w:t>
      </w:r>
      <w:r>
        <w:rPr>
          <w:rFonts w:hint="default" w:ascii="Times New Roman" w:hAnsi="Times New Roman" w:eastAsia="方正公文小标宋" w:cs="Times New Roman"/>
          <w:sz w:val="84"/>
          <w:szCs w:val="84"/>
          <w:lang w:eastAsia="zh-CN"/>
        </w:rPr>
        <w:t>市</w:t>
      </w:r>
      <w:r>
        <w:rPr>
          <w:rFonts w:hint="default" w:ascii="Times New Roman" w:hAnsi="Times New Roman" w:eastAsia="方正公文小标宋" w:cs="Times New Roman"/>
          <w:sz w:val="84"/>
          <w:szCs w:val="84"/>
          <w:lang w:val="en-US" w:eastAsia="zh-CN"/>
        </w:rPr>
        <w:t>宿城区</w:t>
      </w:r>
    </w:p>
    <w:p w14:paraId="4D288FD2">
      <w:pPr>
        <w:jc w:val="center"/>
        <w:rPr>
          <w:rFonts w:hint="default" w:ascii="Times New Roman" w:hAnsi="Times New Roman" w:eastAsia="方正公文小标宋" w:cs="Times New Roman"/>
          <w:sz w:val="84"/>
          <w:szCs w:val="84"/>
          <w:lang w:eastAsia="zh-CN"/>
        </w:rPr>
      </w:pPr>
      <w:r>
        <w:rPr>
          <w:rFonts w:hint="default" w:ascii="Times New Roman" w:hAnsi="Times New Roman" w:eastAsia="方正公文小标宋" w:cs="Times New Roman"/>
          <w:sz w:val="84"/>
          <w:szCs w:val="84"/>
          <w:lang w:val="en-US" w:eastAsia="zh-CN"/>
        </w:rPr>
        <w:t>项里街道</w:t>
      </w:r>
      <w:r>
        <w:rPr>
          <w:rFonts w:hint="default" w:ascii="Times New Roman" w:hAnsi="Times New Roman" w:eastAsia="方正公文小标宋" w:cs="Times New Roman"/>
          <w:sz w:val="84"/>
          <w:szCs w:val="84"/>
          <w:lang w:eastAsia="zh-CN"/>
        </w:rPr>
        <w:t>履行职责事项清单</w:t>
      </w:r>
    </w:p>
    <w:p w14:paraId="5FDD7A93">
      <w:pPr>
        <w:pStyle w:val="2"/>
        <w:jc w:val="left"/>
        <w:rPr>
          <w:rFonts w:hint="default" w:ascii="Times New Roman" w:hAnsi="Times New Roman" w:eastAsia="方正公文小标宋" w:cs="Times New Roman"/>
          <w:b w:val="0"/>
          <w:sz w:val="84"/>
          <w:szCs w:val="84"/>
          <w:lang w:eastAsia="zh-CN"/>
        </w:rPr>
      </w:pPr>
    </w:p>
    <w:p w14:paraId="6BFEC3B7">
      <w:pPr>
        <w:rPr>
          <w:rFonts w:hint="default" w:ascii="Times New Roman" w:hAnsi="Times New Roman" w:eastAsia="方正公文小标宋" w:cs="Times New Roman"/>
          <w:sz w:val="84"/>
          <w:szCs w:val="84"/>
          <w:lang w:eastAsia="zh-CN"/>
        </w:rPr>
      </w:pPr>
    </w:p>
    <w:p w14:paraId="114BC923">
      <w:pPr>
        <w:kinsoku/>
        <w:autoSpaceDE/>
        <w:autoSpaceDN/>
        <w:adjustRightInd/>
        <w:snapToGrid/>
        <w:textAlignment w:val="auto"/>
        <w:rPr>
          <w:rFonts w:hint="default" w:ascii="Times New Roman" w:hAnsi="Times New Roman" w:cs="Times New Roman" w:eastAsiaTheme="minorEastAsia"/>
          <w:b/>
          <w:sz w:val="32"/>
          <w:lang w:eastAsia="zh-CN"/>
        </w:rPr>
      </w:pPr>
    </w:p>
    <w:p w14:paraId="244E6726">
      <w:pPr>
        <w:pStyle w:val="2"/>
        <w:rPr>
          <w:rFonts w:hint="default" w:ascii="Times New Roman" w:hAnsi="Times New Roman" w:cs="Times New Roman"/>
          <w:lang w:eastAsia="zh-CN"/>
        </w:rPr>
      </w:pPr>
    </w:p>
    <w:sdt>
      <w:sdtPr>
        <w:rPr>
          <w:rFonts w:hint="default" w:ascii="Times New Roman" w:hAnsi="Times New Roman" w:eastAsia="Arial" w:cs="Times New Roman"/>
          <w:snapToGrid w:val="0"/>
          <w:color w:val="000000"/>
          <w:sz w:val="21"/>
          <w:szCs w:val="21"/>
          <w:lang w:val="zh-CN" w:eastAsia="en-US"/>
        </w:rPr>
        <w:id w:val="-434287504"/>
        <w:docPartObj>
          <w:docPartGallery w:val="Table of Contents"/>
          <w:docPartUnique/>
        </w:docPartObj>
      </w:sdtPr>
      <w:sdtEndPr>
        <w:rPr>
          <w:rFonts w:hint="default" w:ascii="Times New Roman" w:hAnsi="Times New Roman" w:eastAsia="Arial" w:cs="Times New Roman"/>
          <w:b/>
          <w:bCs/>
          <w:snapToGrid w:val="0"/>
          <w:color w:val="000000"/>
          <w:sz w:val="21"/>
          <w:szCs w:val="21"/>
          <w:lang w:val="zh-CN" w:eastAsia="en-US"/>
        </w:rPr>
      </w:sdtEndPr>
      <w:sdtContent>
        <w:sdt>
          <w:sdtPr>
            <w:rPr>
              <w:rFonts w:hint="default" w:ascii="Times New Roman" w:hAnsi="Times New Roman" w:eastAsia="Arial" w:cs="Times New Roman"/>
              <w:snapToGrid w:val="0"/>
              <w:color w:val="auto"/>
              <w:sz w:val="21"/>
              <w:szCs w:val="21"/>
              <w:lang w:val="zh-CN" w:eastAsia="en-US"/>
            </w:rPr>
            <w:id w:val="147455292"/>
            <w:docPartObj>
              <w:docPartGallery w:val="Table of Contents"/>
              <w:docPartUnique/>
            </w:docPartObj>
          </w:sdtPr>
          <w:sdtEndPr>
            <w:rPr>
              <w:rFonts w:hint="default" w:ascii="Times New Roman" w:hAnsi="Times New Roman" w:eastAsia="Arial" w:cs="Times New Roman"/>
              <w:b/>
              <w:bCs/>
              <w:snapToGrid w:val="0"/>
              <w:color w:val="auto"/>
              <w:sz w:val="21"/>
              <w:szCs w:val="21"/>
              <w:lang w:val="zh-CN" w:eastAsia="en-US"/>
            </w:rPr>
          </w:sdtEndPr>
          <w:sdtContent>
            <w:p w14:paraId="4A83A7AC">
              <w:pPr>
                <w:pStyle w:val="24"/>
                <w:jc w:val="center"/>
                <w:rPr>
                  <w:rFonts w:hint="default" w:ascii="Times New Roman" w:hAnsi="Times New Roman" w:eastAsia="方正公文小标宋" w:cs="Times New Roman"/>
                  <w:color w:val="auto"/>
                  <w:sz w:val="44"/>
                  <w:szCs w:val="44"/>
                  <w:lang w:val="zh-CN"/>
                </w:rPr>
              </w:pPr>
              <w:r>
                <w:rPr>
                  <w:rFonts w:hint="default" w:ascii="Times New Roman" w:hAnsi="Times New Roman" w:eastAsia="方正公文小标宋" w:cs="Times New Roman"/>
                  <w:color w:val="auto"/>
                  <w:sz w:val="44"/>
                  <w:szCs w:val="44"/>
                  <w:lang w:val="zh-CN"/>
                </w:rPr>
                <w:t>目  录</w:t>
              </w:r>
            </w:p>
            <w:p w14:paraId="1B68E008">
              <w:pPr>
                <w:pStyle w:val="11"/>
                <w:numPr>
                  <w:ilvl w:val="0"/>
                  <w:numId w:val="0"/>
                </w:numPr>
                <w:tabs>
                  <w:tab w:val="right" w:leader="dot" w:pos="13991"/>
                </w:tabs>
                <w:ind w:leftChars="0"/>
                <w:rPr>
                  <w:rFonts w:hint="default" w:ascii="Times New Roman" w:hAnsi="Times New Roman" w:cs="Times New Roman" w:eastAsiaTheme="minorEastAsia"/>
                  <w:snapToGrid/>
                  <w:color w:val="auto"/>
                  <w:kern w:val="2"/>
                  <w:sz w:val="21"/>
                  <w:szCs w:val="22"/>
                  <w:lang w:eastAsia="zh-CN"/>
                </w:rPr>
              </w:pPr>
              <w:r>
                <w:rPr>
                  <w:rFonts w:hint="default" w:ascii="Times New Roman" w:hAnsi="Times New Roman" w:cs="Times New Roman"/>
                  <w:color w:val="auto"/>
                  <w:lang w:val="en-US" w:eastAsia="zh-CN"/>
                </w:rPr>
                <w:t>1.</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TOC \o "1-3" \h \z \u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"_Toc176767293" </w:instrText>
              </w:r>
              <w:r>
                <w:rPr>
                  <w:rFonts w:hint="default" w:ascii="Times New Roman" w:hAnsi="Times New Roman" w:cs="Times New Roman"/>
                  <w:color w:val="auto"/>
                </w:rPr>
                <w:fldChar w:fldCharType="separate"/>
              </w:r>
              <w:r>
                <w:rPr>
                  <w:rStyle w:val="16"/>
                  <w:rFonts w:hint="default" w:ascii="Times New Roman" w:hAnsi="Times New Roman" w:eastAsia="方正公文小标宋" w:cs="Times New Roman"/>
                  <w:color w:val="auto"/>
                  <w:lang w:val="en-US" w:eastAsia="zh-CN"/>
                </w:rPr>
                <w:t>项里街道基本履职</w:t>
              </w:r>
              <w:r>
                <w:rPr>
                  <w:rStyle w:val="16"/>
                  <w:rFonts w:hint="default" w:ascii="Times New Roman" w:hAnsi="Times New Roman" w:eastAsia="方正公文小标宋" w:cs="Times New Roman"/>
                  <w:color w:val="auto"/>
                  <w:lang w:eastAsia="zh-CN"/>
                </w:rPr>
                <w:t>事项清单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_Toc176767293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A883F1B">
              <w:pPr>
                <w:pStyle w:val="11"/>
                <w:numPr>
                  <w:ilvl w:val="0"/>
                  <w:numId w:val="0"/>
                </w:numPr>
                <w:tabs>
                  <w:tab w:val="right" w:leader="dot" w:pos="13991"/>
                </w:tabs>
                <w:ind w:leftChars="0"/>
                <w:rPr>
                  <w:rFonts w:hint="default" w:ascii="Times New Roman" w:hAnsi="Times New Roman" w:eastAsia="方正公文仿宋" w:cs="Times New Roman"/>
                  <w:snapToGrid/>
                  <w:color w:val="auto"/>
                  <w:kern w:val="2"/>
                  <w:sz w:val="21"/>
                  <w:szCs w:val="22"/>
                  <w:lang w:val="en-US" w:eastAsia="zh-CN"/>
                </w:rPr>
              </w:pPr>
              <w:r>
                <w:rPr>
                  <w:rFonts w:hint="default" w:ascii="Times New Roman" w:hAnsi="Times New Roman" w:cs="Times New Roman"/>
                  <w:color w:val="auto"/>
                  <w:lang w:val="en-US" w:eastAsia="zh-CN"/>
                </w:rPr>
                <w:t>2.</w:t>
              </w:r>
              <w:r>
                <w:rPr>
                  <w:rStyle w:val="16"/>
                  <w:rFonts w:hint="default" w:ascii="Times New Roman" w:hAnsi="Times New Roman" w:eastAsia="方正公文小标宋" w:cs="Times New Roman"/>
                  <w:color w:val="auto"/>
                  <w:lang w:val="en-US" w:eastAsia="zh-CN"/>
                </w:rPr>
                <w:t>项里街道</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"_Toc176767294" </w:instrText>
              </w:r>
              <w:r>
                <w:rPr>
                  <w:rFonts w:hint="default" w:ascii="Times New Roman" w:hAnsi="Times New Roman" w:cs="Times New Roman"/>
                  <w:color w:val="auto"/>
                </w:rPr>
                <w:fldChar w:fldCharType="separate"/>
              </w:r>
              <w:r>
                <w:rPr>
                  <w:rStyle w:val="16"/>
                  <w:rFonts w:hint="default" w:ascii="Times New Roman" w:hAnsi="Times New Roman" w:eastAsia="方正公文小标宋" w:cs="Times New Roman"/>
                  <w:color w:val="auto"/>
                  <w:lang w:eastAsia="zh-CN"/>
                </w:rPr>
                <w:t>配合履职事项清单</w:t>
              </w:r>
              <w:r>
                <w:rPr>
                  <w:rFonts w:hint="default" w:ascii="Times New Roman" w:hAnsi="Times New Roman" w:cs="Times New Roman"/>
                  <w:color w:val="auto"/>
                </w:rPr>
                <w:tab/>
              </w:r>
              <w:r>
                <w:rPr>
                  <w:rFonts w:hint="default"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default" w:ascii="Times New Roman" w:hAnsi="Times New Roman" w:cs="Times New Roman"/>
                  <w:color w:val="auto"/>
                  <w:lang w:val="en-US" w:eastAsia="zh-CN"/>
                </w:rPr>
                <w:t>1</w:t>
              </w:r>
            </w:p>
            <w:p w14:paraId="3C6237EB">
              <w:pPr>
                <w:pStyle w:val="11"/>
                <w:numPr>
                  <w:ilvl w:val="0"/>
                  <w:numId w:val="0"/>
                </w:numPr>
                <w:tabs>
                  <w:tab w:val="right" w:leader="dot" w:pos="13991"/>
                </w:tabs>
                <w:ind w:leftChars="0"/>
                <w:rPr>
                  <w:rFonts w:hint="default" w:ascii="Times New Roman" w:hAnsi="Times New Roman" w:eastAsia="方正公文仿宋" w:cs="Times New Roman"/>
                  <w:snapToGrid/>
                  <w:color w:val="auto"/>
                  <w:kern w:val="2"/>
                  <w:sz w:val="21"/>
                  <w:szCs w:val="22"/>
                  <w:lang w:val="en-US" w:eastAsia="zh-CN"/>
                </w:rPr>
              </w:pPr>
              <w:r>
                <w:rPr>
                  <w:rFonts w:hint="default" w:ascii="Times New Roman" w:hAnsi="Times New Roman" w:cs="Times New Roman"/>
                  <w:color w:val="auto"/>
                  <w:lang w:val="en-US" w:eastAsia="zh-CN"/>
                </w:rPr>
                <w:t>3.</w:t>
              </w:r>
              <w:r>
                <w:rPr>
                  <w:rStyle w:val="16"/>
                  <w:rFonts w:hint="default" w:ascii="Times New Roman" w:hAnsi="Times New Roman" w:eastAsia="方正公文小标宋" w:cs="Times New Roman"/>
                  <w:color w:val="auto"/>
                  <w:lang w:val="en-US" w:eastAsia="zh-CN"/>
                </w:rPr>
                <w:t>项里街道</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"_Toc176767295" </w:instrText>
              </w:r>
              <w:r>
                <w:rPr>
                  <w:rFonts w:hint="default" w:ascii="Times New Roman" w:hAnsi="Times New Roman" w:cs="Times New Roman"/>
                  <w:color w:val="auto"/>
                </w:rPr>
                <w:fldChar w:fldCharType="separate"/>
              </w:r>
              <w:r>
                <w:rPr>
                  <w:rStyle w:val="16"/>
                  <w:rFonts w:hint="default" w:ascii="Times New Roman" w:hAnsi="Times New Roman" w:eastAsia="方正公文小标宋" w:cs="Times New Roman"/>
                  <w:color w:val="auto"/>
                  <w:lang w:eastAsia="zh-CN"/>
                </w:rPr>
                <w:t>上级部门收回事项清单</w:t>
              </w:r>
              <w:r>
                <w:rPr>
                  <w:rFonts w:hint="default" w:ascii="Times New Roman" w:hAnsi="Times New Roman" w:cs="Times New Roman"/>
                  <w:color w:val="auto"/>
                </w:rPr>
                <w:tab/>
              </w:r>
              <w:r>
                <w:rPr>
                  <w:rFonts w:hint="default" w:ascii="Times New Roman" w:hAnsi="Times New Roman" w:cs="Times New Roman"/>
                  <w:color w:val="auto"/>
                  <w:lang w:val="en-US" w:eastAsia="zh-CN"/>
                </w:rPr>
                <w:t>2</w:t>
              </w:r>
              <w:r>
                <w:rPr>
                  <w:rFonts w:hint="default" w:ascii="Times New Roman" w:hAnsi="Times New Roman" w:cs="Times New Roman"/>
                  <w:color w:val="auto"/>
                </w:rPr>
                <w:fldChar w:fldCharType="end"/>
              </w:r>
              <w:r>
                <w:rPr>
                  <w:rFonts w:hint="default" w:ascii="Times New Roman" w:hAnsi="Times New Roman" w:cs="Times New Roman"/>
                  <w:color w:val="auto"/>
                  <w:lang w:val="en-US" w:eastAsia="zh-CN"/>
                </w:rPr>
                <w:t>7</w:t>
              </w:r>
            </w:p>
            <w:p w14:paraId="31C87B35">
              <w:pPr>
                <w:rPr>
                  <w:rFonts w:hint="default" w:ascii="Times New Roman" w:hAnsi="Times New Roman" w:eastAsia="Arial" w:cs="Times New Roman"/>
                  <w:b/>
                  <w:bCs/>
                  <w:snapToGrid w:val="0"/>
                  <w:color w:val="auto"/>
                  <w:sz w:val="21"/>
                  <w:szCs w:val="21"/>
                  <w:lang w:val="zh-CN" w:eastAsia="en-US"/>
                </w:rPr>
              </w:pPr>
              <w:r>
                <w:rPr>
                  <w:rFonts w:hint="default" w:ascii="Times New Roman" w:hAnsi="Times New Roman" w:cs="Times New Roman"/>
                  <w:b/>
                  <w:bCs/>
                  <w:color w:val="auto"/>
                  <w:lang w:val="zh-CN"/>
                </w:rPr>
                <w:fldChar w:fldCharType="end"/>
              </w:r>
            </w:p>
          </w:sdtContent>
        </w:sdt>
        <w:p w14:paraId="7D214260">
          <w:pPr>
            <w:rPr>
              <w:rFonts w:hint="default" w:ascii="Times New Roman" w:hAnsi="Times New Roman" w:cs="Times New Roman"/>
            </w:rPr>
          </w:pPr>
        </w:p>
      </w:sdtContent>
    </w:sdt>
    <w:p w14:paraId="2F9E85BB">
      <w:pPr>
        <w:pStyle w:val="2"/>
        <w:jc w:val="both"/>
        <w:rPr>
          <w:rFonts w:hint="default" w:ascii="Times New Roman" w:hAnsi="Times New Roman" w:eastAsia="方正小标宋_GBK" w:cs="Times New Roman"/>
          <w:color w:val="auto"/>
          <w:spacing w:val="7"/>
          <w:sz w:val="44"/>
          <w:szCs w:val="44"/>
          <w:lang w:eastAsia="zh-CN"/>
        </w:rPr>
      </w:pPr>
    </w:p>
    <w:p w14:paraId="2D63AE6C">
      <w:pPr>
        <w:rPr>
          <w:rStyle w:val="16"/>
          <w:rFonts w:hint="default" w:ascii="Times New Roman" w:hAnsi="Times New Roman" w:eastAsia="方正公文小标宋" w:cs="Times New Roman"/>
          <w:color w:val="auto"/>
          <w:sz w:val="32"/>
          <w:u w:val="none"/>
          <w:lang w:eastAsia="zh-CN"/>
        </w:rPr>
      </w:pPr>
    </w:p>
    <w:p w14:paraId="5DF3254B">
      <w:pPr>
        <w:rPr>
          <w:rStyle w:val="16"/>
          <w:rFonts w:hint="default"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B3F2721">
      <w:pPr>
        <w:pStyle w:val="3"/>
        <w:spacing w:before="0" w:after="0" w:line="240" w:lineRule="auto"/>
        <w:jc w:val="center"/>
        <w:rPr>
          <w:rFonts w:hint="default" w:ascii="Times New Roman" w:hAnsi="Times New Roman" w:eastAsia="方正公文小标宋" w:cs="Times New Roman"/>
          <w:b w:val="0"/>
          <w:color w:val="auto"/>
          <w:spacing w:val="7"/>
          <w:lang w:eastAsia="zh-CN"/>
        </w:rPr>
      </w:pPr>
      <w:r>
        <w:rPr>
          <w:rFonts w:hint="default" w:ascii="Times New Roman" w:hAnsi="Times New Roman" w:eastAsia="方正小标宋_GBK" w:cs="Times New Roman"/>
          <w:b w:val="0"/>
          <w:bCs w:val="0"/>
          <w:color w:val="auto"/>
          <w:lang w:val="en-US" w:eastAsia="zh-CN" w:bidi="ar"/>
        </w:rPr>
        <w:t>基本履职事项清单</w:t>
      </w:r>
    </w:p>
    <w:tbl>
      <w:tblPr>
        <w:tblStyle w:val="13"/>
        <w:tblW w:w="14019" w:type="dxa"/>
        <w:tblInd w:w="96" w:type="dxa"/>
        <w:tblLayout w:type="autofit"/>
        <w:tblCellMar>
          <w:top w:w="0" w:type="dxa"/>
          <w:left w:w="108" w:type="dxa"/>
          <w:bottom w:w="0" w:type="dxa"/>
          <w:right w:w="108" w:type="dxa"/>
        </w:tblCellMar>
      </w:tblPr>
      <w:tblGrid>
        <w:gridCol w:w="710"/>
        <w:gridCol w:w="13309"/>
      </w:tblGrid>
      <w:tr w14:paraId="554ECC4D">
        <w:tblPrEx>
          <w:tblCellMar>
            <w:top w:w="0" w:type="dxa"/>
            <w:left w:w="108" w:type="dxa"/>
            <w:bottom w:w="0" w:type="dxa"/>
            <w:right w:w="108" w:type="dxa"/>
          </w:tblCellMar>
        </w:tblPrEx>
        <w:trPr>
          <w:cantSplit/>
          <w:trHeight w:val="610" w:hRule="atLeast"/>
          <w:tblHead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A1EA">
            <w:pPr>
              <w:jc w:val="center"/>
              <w:textAlignment w:val="center"/>
              <w:rPr>
                <w:rStyle w:val="21"/>
                <w:rFonts w:hint="default" w:ascii="Times New Roman" w:hAnsi="Times New Roman" w:eastAsia="方正黑体_GBK" w:cs="Times New Roman"/>
                <w:color w:val="auto"/>
                <w:lang w:eastAsia="zh-CN" w:bidi="ar"/>
              </w:rPr>
            </w:pPr>
            <w:r>
              <w:rPr>
                <w:rStyle w:val="21"/>
                <w:rFonts w:hint="default" w:ascii="Times New Roman" w:hAnsi="Times New Roman" w:eastAsia="方正黑体_GBK" w:cs="Times New Roman"/>
                <w:color w:val="auto"/>
                <w:lang w:eastAsia="zh-CN" w:bidi="ar"/>
              </w:rPr>
              <w:t>序号</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C2FC">
            <w:pPr>
              <w:jc w:val="center"/>
              <w:textAlignment w:val="center"/>
              <w:rPr>
                <w:rStyle w:val="21"/>
                <w:rFonts w:hint="default" w:ascii="Times New Roman" w:hAnsi="Times New Roman" w:eastAsia="方正黑体_GBK" w:cs="Times New Roman"/>
                <w:color w:val="auto"/>
                <w:lang w:eastAsia="zh-CN" w:bidi="ar"/>
              </w:rPr>
            </w:pPr>
            <w:r>
              <w:rPr>
                <w:rStyle w:val="21"/>
                <w:rFonts w:hint="default" w:ascii="Times New Roman" w:hAnsi="Times New Roman" w:eastAsia="方正黑体_GBK" w:cs="Times New Roman"/>
                <w:color w:val="auto"/>
                <w:lang w:eastAsia="zh-CN" w:bidi="ar"/>
              </w:rPr>
              <w:t>事项名称</w:t>
            </w:r>
          </w:p>
        </w:tc>
      </w:tr>
      <w:tr w14:paraId="32B644A4">
        <w:tblPrEx>
          <w:tblCellMar>
            <w:top w:w="0" w:type="dxa"/>
            <w:left w:w="108" w:type="dxa"/>
            <w:bottom w:w="0" w:type="dxa"/>
            <w:right w:w="108" w:type="dxa"/>
          </w:tblCellMar>
        </w:tblPrEx>
        <w:trPr>
          <w:cantSplit/>
          <w:trHeight w:val="463"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EF2DC">
            <w:pPr>
              <w:textAlignment w:val="center"/>
              <w:rPr>
                <w:rFonts w:hint="default" w:ascii="Times New Roman" w:hAnsi="Times New Roman" w:eastAsia="方正仿宋_GBK" w:cs="Times New Roman"/>
                <w:lang w:eastAsia="zh-CN" w:bidi="ar"/>
              </w:rPr>
            </w:pPr>
            <w:r>
              <w:rPr>
                <w:rStyle w:val="21"/>
                <w:rFonts w:hint="default" w:ascii="Times New Roman" w:hAnsi="Times New Roman" w:eastAsia="方正黑体_GBK" w:cs="Times New Roman"/>
                <w:color w:val="auto"/>
                <w:lang w:eastAsia="zh-CN" w:bidi="ar"/>
              </w:rPr>
              <w:t>一、</w:t>
            </w:r>
            <w:r>
              <w:rPr>
                <w:rStyle w:val="21"/>
                <w:rFonts w:hint="default" w:ascii="Times New Roman" w:hAnsi="Times New Roman" w:eastAsia="方正黑体_GBK" w:cs="Times New Roman"/>
                <w:color w:val="auto"/>
                <w:lang w:val="en-US" w:eastAsia="zh-CN" w:bidi="ar"/>
              </w:rPr>
              <w:t>党的建设</w:t>
            </w:r>
            <w:r>
              <w:rPr>
                <w:rStyle w:val="21"/>
                <w:rFonts w:hint="default" w:ascii="Times New Roman" w:hAnsi="Times New Roman" w:eastAsia="方正黑体_GBK" w:cs="Times New Roman"/>
                <w:color w:val="auto"/>
                <w:lang w:eastAsia="zh-CN" w:bidi="ar"/>
              </w:rPr>
              <w:t>（</w:t>
            </w:r>
            <w:r>
              <w:rPr>
                <w:rStyle w:val="21"/>
                <w:rFonts w:hint="default" w:ascii="Times New Roman" w:hAnsi="Times New Roman" w:eastAsia="方正黑体_GBK" w:cs="Times New Roman"/>
                <w:color w:val="auto"/>
                <w:lang w:val="en-US" w:eastAsia="zh-CN" w:bidi="ar"/>
              </w:rPr>
              <w:t>19</w:t>
            </w:r>
            <w:r>
              <w:rPr>
                <w:rStyle w:val="21"/>
                <w:rFonts w:hint="default" w:ascii="Times New Roman" w:hAnsi="Times New Roman" w:eastAsia="方正黑体_GBK" w:cs="Times New Roman"/>
                <w:color w:val="auto"/>
                <w:lang w:eastAsia="zh-CN" w:bidi="ar"/>
              </w:rPr>
              <w:t>项）</w:t>
            </w:r>
          </w:p>
        </w:tc>
      </w:tr>
      <w:tr w14:paraId="1E18545C">
        <w:tblPrEx>
          <w:tblCellMar>
            <w:top w:w="0" w:type="dxa"/>
            <w:left w:w="108" w:type="dxa"/>
            <w:bottom w:w="0" w:type="dxa"/>
            <w:right w:w="108" w:type="dxa"/>
          </w:tblCellMar>
        </w:tblPrEx>
        <w:trPr>
          <w:cantSplit/>
          <w:trHeight w:val="79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8B11">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6FBB">
            <w:pPr>
              <w:textAlignment w:val="center"/>
              <w:rPr>
                <w:rFonts w:hint="default" w:ascii="Times New Roman" w:hAnsi="Times New Roman" w:eastAsia="方正仿宋_GBK" w:cs="Times New Roman"/>
                <w:lang w:eastAsia="zh-CN" w:bidi="ar"/>
              </w:rPr>
            </w:pPr>
            <w:r>
              <w:rPr>
                <w:rFonts w:hint="default" w:ascii="Times New Roman" w:hAnsi="Times New Roman" w:eastAsia="方正仿宋_GBK" w:cs="Times New Roman"/>
                <w:lang w:eastAsia="zh-CN" w:bidi="ar"/>
              </w:rPr>
              <w:t>学习贯彻落实习近平新时代中国特色社会主义思想和习近平总书记对江苏工作的重要讲话重要指示精神，宣传和执行党的路线方针政策，宣传和执行上级党组织及本级党组织的决议，按照党中央部署开展党内集中教育，加强政治建设，坚定拥护“两个确立”，坚决做到“两个维护”</w:t>
            </w:r>
          </w:p>
        </w:tc>
      </w:tr>
      <w:tr w14:paraId="6F583038">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3A26">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855D">
            <w:pPr>
              <w:textAlignment w:val="center"/>
              <w:rPr>
                <w:rFonts w:hint="default" w:ascii="Times New Roman" w:hAnsi="Times New Roman" w:eastAsia="方正仿宋_GBK" w:cs="Times New Roman"/>
                <w:lang w:eastAsia="zh-CN" w:bidi="ar"/>
              </w:rPr>
            </w:pPr>
            <w:r>
              <w:rPr>
                <w:rFonts w:hint="default" w:ascii="Times New Roman" w:hAnsi="Times New Roman" w:eastAsia="方正仿宋_GBK" w:cs="Times New Roman"/>
                <w:lang w:eastAsia="zh-CN" w:bidi="ar"/>
              </w:rPr>
              <w:t>推进社区、机关、“两企三新”等领域基层党组织规范化建设</w:t>
            </w:r>
          </w:p>
        </w:tc>
      </w:tr>
      <w:tr w14:paraId="26273416">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70FD">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21EA">
            <w:pPr>
              <w:textAlignment w:val="center"/>
              <w:rPr>
                <w:rFonts w:hint="default" w:ascii="Times New Roman" w:hAnsi="Times New Roman" w:eastAsia="方正仿宋_GBK" w:cs="Times New Roman"/>
                <w:lang w:eastAsia="zh-CN" w:bidi="ar"/>
              </w:rPr>
            </w:pPr>
            <w:r>
              <w:rPr>
                <w:rFonts w:hint="default" w:ascii="Times New Roman" w:hAnsi="Times New Roman" w:eastAsia="方正仿宋_GBK" w:cs="Times New Roman"/>
                <w:lang w:eastAsia="zh-CN" w:bidi="ar"/>
              </w:rPr>
              <w:t>组织实施本级党组织及所属基层党组织换届工作</w:t>
            </w:r>
          </w:p>
        </w:tc>
      </w:tr>
      <w:tr w14:paraId="7067246A">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911A">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FC7D">
            <w:pPr>
              <w:textAlignment w:val="center"/>
              <w:rPr>
                <w:rFonts w:hint="default" w:ascii="Times New Roman" w:hAnsi="Times New Roman" w:eastAsia="方正仿宋_GBK" w:cs="Times New Roman"/>
                <w:lang w:eastAsia="zh-CN" w:bidi="ar"/>
              </w:rPr>
            </w:pPr>
            <w:r>
              <w:rPr>
                <w:rFonts w:hint="default" w:ascii="Times New Roman" w:hAnsi="Times New Roman" w:eastAsia="方正仿宋_GBK" w:cs="Times New Roman"/>
                <w:lang w:eastAsia="zh-CN" w:bidi="ar"/>
              </w:rPr>
              <w:t>负责党员培养、发展、教育、管理、监督和服务，塑造新时代党员忠诚、干净、担当的政治品格</w:t>
            </w:r>
          </w:p>
        </w:tc>
      </w:tr>
      <w:tr w14:paraId="150CD02A">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3D14">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0B72">
            <w:pPr>
              <w:textAlignment w:val="center"/>
              <w:rPr>
                <w:rFonts w:hint="default" w:ascii="Times New Roman" w:hAnsi="Times New Roman" w:eastAsia="方正仿宋_GBK" w:cs="Times New Roman"/>
                <w:lang w:eastAsia="zh-CN" w:bidi="ar"/>
              </w:rPr>
            </w:pPr>
            <w:r>
              <w:rPr>
                <w:rFonts w:hint="default" w:ascii="Times New Roman" w:hAnsi="Times New Roman" w:eastAsia="方正仿宋_GBK" w:cs="Times New Roman"/>
                <w:lang w:eastAsia="zh-CN" w:bidi="ar"/>
              </w:rPr>
              <w:t>负责公务员、事业单位工作人员和社区“两委”干部（含临聘人员）培养使用、岗位任免和考核管理工作</w:t>
            </w:r>
          </w:p>
        </w:tc>
      </w:tr>
      <w:tr w14:paraId="7F372AF2">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5704">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9281">
            <w:pPr>
              <w:textAlignment w:val="center"/>
              <w:rPr>
                <w:rFonts w:hint="default" w:ascii="Times New Roman" w:hAnsi="Times New Roman" w:eastAsia="方正仿宋_GBK" w:cs="Times New Roman"/>
                <w:lang w:eastAsia="zh-CN" w:bidi="ar"/>
              </w:rPr>
            </w:pPr>
            <w:r>
              <w:rPr>
                <w:rFonts w:hint="default" w:ascii="Times New Roman" w:hAnsi="Times New Roman" w:eastAsia="方正仿宋_GBK" w:cs="Times New Roman"/>
                <w:lang w:eastAsia="zh-CN" w:bidi="ar"/>
              </w:rPr>
              <w:t>开展人才招引、政策宣传、人才培育、人才就业创业及保障工作</w:t>
            </w:r>
          </w:p>
        </w:tc>
      </w:tr>
      <w:tr w14:paraId="376607A2">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5733">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BAC1">
            <w:pPr>
              <w:textAlignment w:val="center"/>
              <w:rPr>
                <w:rFonts w:hint="default" w:ascii="Times New Roman" w:hAnsi="Times New Roman" w:eastAsia="方正仿宋_GBK" w:cs="Times New Roman"/>
                <w:lang w:eastAsia="zh-CN" w:bidi="ar"/>
              </w:rPr>
            </w:pPr>
            <w:r>
              <w:rPr>
                <w:rFonts w:hint="default" w:ascii="Times New Roman" w:hAnsi="Times New Roman" w:eastAsia="方正仿宋_GBK" w:cs="Times New Roman"/>
                <w:lang w:eastAsia="zh-CN" w:bidi="ar"/>
              </w:rPr>
              <w:t>坚持全面从严治党，严格落实党风廉政建设“两个责任”，一体推进不敢腐、不能腐、不想腐</w:t>
            </w:r>
          </w:p>
        </w:tc>
      </w:tr>
      <w:tr w14:paraId="448EFFAB">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1AD9">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2B6D">
            <w:pPr>
              <w:textAlignment w:val="center"/>
              <w:rPr>
                <w:rFonts w:hint="default" w:ascii="Times New Roman" w:hAnsi="Times New Roman" w:eastAsia="方正仿宋_GBK" w:cs="Times New Roman"/>
                <w:lang w:eastAsia="zh-CN" w:bidi="ar"/>
              </w:rPr>
            </w:pPr>
            <w:r>
              <w:rPr>
                <w:rFonts w:hint="default" w:ascii="Times New Roman" w:hAnsi="Times New Roman" w:eastAsia="方正仿宋_GBK" w:cs="Times New Roman"/>
                <w:lang w:eastAsia="zh-CN" w:bidi="ar"/>
              </w:rPr>
              <w:t>开展监督执纪问责，依法查处党员干部、公职人员违纪违法案件</w:t>
            </w:r>
          </w:p>
        </w:tc>
      </w:tr>
      <w:tr w14:paraId="1E3D921C">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F4D2">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283B">
            <w:pPr>
              <w:textAlignment w:val="center"/>
              <w:rPr>
                <w:rFonts w:hint="default" w:ascii="Times New Roman" w:hAnsi="Times New Roman" w:eastAsia="方正仿宋_GBK" w:cs="Times New Roman"/>
                <w:lang w:eastAsia="zh-CN" w:bidi="ar"/>
              </w:rPr>
            </w:pPr>
            <w:r>
              <w:rPr>
                <w:rFonts w:hint="default" w:ascii="Times New Roman" w:hAnsi="Times New Roman" w:eastAsia="方正仿宋_GBK" w:cs="Times New Roman"/>
                <w:lang w:val="en-US" w:eastAsia="zh-CN" w:bidi="ar"/>
              </w:rPr>
              <w:t>推进城乡精神文明建设，开展核心价值观践行和现代文明素质培育提升行动</w:t>
            </w:r>
          </w:p>
        </w:tc>
      </w:tr>
      <w:tr w14:paraId="06CE4BA2">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C99C">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AC72">
            <w:pPr>
              <w:textAlignment w:val="center"/>
              <w:rPr>
                <w:rFonts w:hint="default" w:ascii="Times New Roman" w:hAnsi="Times New Roman" w:eastAsia="方正仿宋_GBK" w:cs="Times New Roman"/>
                <w:lang w:eastAsia="zh-CN" w:bidi="ar"/>
              </w:rPr>
            </w:pPr>
            <w:r>
              <w:rPr>
                <w:rFonts w:hint="default" w:ascii="Times New Roman" w:hAnsi="Times New Roman" w:eastAsia="方正仿宋_GBK" w:cs="Times New Roman"/>
                <w:lang w:val="en-US" w:eastAsia="zh-CN" w:bidi="ar"/>
              </w:rPr>
              <w:t>落实统战工作责任制，推进党内外人士沟通联系</w:t>
            </w:r>
          </w:p>
        </w:tc>
      </w:tr>
      <w:tr w14:paraId="1F7390F9">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0C9A">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F61B">
            <w:pPr>
              <w:textAlignment w:val="center"/>
              <w:rPr>
                <w:rFonts w:hint="default" w:ascii="Times New Roman" w:hAnsi="Times New Roman" w:eastAsia="方正仿宋_GBK" w:cs="Times New Roman"/>
                <w:lang w:eastAsia="zh-CN" w:bidi="ar"/>
              </w:rPr>
            </w:pPr>
            <w:r>
              <w:rPr>
                <w:rFonts w:hint="default" w:ascii="Times New Roman" w:hAnsi="Times New Roman" w:eastAsia="方正仿宋_GBK" w:cs="Times New Roman"/>
                <w:lang w:val="en-US" w:eastAsia="zh-CN" w:bidi="ar"/>
              </w:rPr>
              <w:t>开展党建引领基层治理，落实社区居民委员会规范化建设要求、健全基层群众自治制度</w:t>
            </w:r>
          </w:p>
        </w:tc>
      </w:tr>
      <w:tr w14:paraId="658FB43B">
        <w:tblPrEx>
          <w:tblCellMar>
            <w:top w:w="0" w:type="dxa"/>
            <w:left w:w="108" w:type="dxa"/>
            <w:bottom w:w="0" w:type="dxa"/>
            <w:right w:w="108" w:type="dxa"/>
          </w:tblCellMar>
        </w:tblPrEx>
        <w:trPr>
          <w:cantSplit/>
          <w:trHeight w:val="649"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D7C9">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3555">
            <w:pPr>
              <w:textAlignment w:val="center"/>
              <w:rPr>
                <w:rFonts w:hint="default" w:ascii="Times New Roman" w:hAnsi="Times New Roman" w:eastAsia="方正仿宋_GBK" w:cs="Times New Roman"/>
                <w:lang w:eastAsia="zh-CN" w:bidi="ar"/>
              </w:rPr>
            </w:pPr>
            <w:r>
              <w:rPr>
                <w:rFonts w:hint="default" w:ascii="Times New Roman" w:hAnsi="Times New Roman" w:eastAsia="方正仿宋_GBK" w:cs="Times New Roman"/>
                <w:lang w:val="en-US" w:eastAsia="zh-CN" w:bidi="ar"/>
              </w:rPr>
              <w:t>负责社会工作人才队伍建设，做好社会工作者职业资格考试组织动员、教育培训，推进岗位开发，深化“五社联动”，常态开展各类志愿服务活动</w:t>
            </w:r>
          </w:p>
        </w:tc>
      </w:tr>
      <w:tr w14:paraId="2D04A3A1">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1F3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3C36">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开展街道人大工委组织建设，召开议政代表会议，落实全过程人民民主各项工作</w:t>
            </w:r>
          </w:p>
        </w:tc>
      </w:tr>
      <w:tr w14:paraId="39B95413">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1A0E">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B2C8">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联系辖区内的人大代表，组织开展视察调研、执法监督和提案办理等履职工作</w:t>
            </w:r>
          </w:p>
        </w:tc>
      </w:tr>
      <w:tr w14:paraId="216C75AB">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2F52">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B96E">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落实政治协商工作要求，推进基层协商民主建设、办理提案、委员推选及联络服务</w:t>
            </w:r>
          </w:p>
        </w:tc>
      </w:tr>
      <w:tr w14:paraId="6FBD9F9F">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6E7C">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311E">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推进基层工会组织体系全覆盖建设，支持和保障辖区内企事业单位职工权益维护</w:t>
            </w:r>
          </w:p>
        </w:tc>
      </w:tr>
      <w:tr w14:paraId="7EDA3D9D">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ECF4">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BC24">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健全团委和社区、“两企三新”团支部建设，开展对团员的教育、培养、管理和服务</w:t>
            </w:r>
          </w:p>
        </w:tc>
      </w:tr>
      <w:tr w14:paraId="2E0B2911">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B83B">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C995">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推进本级妇联组织体系和制度建设，开展妇女儿童权益保护和宣传动员工作</w:t>
            </w:r>
          </w:p>
        </w:tc>
      </w:tr>
      <w:tr w14:paraId="18493C98">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E7C3">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7E5B">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发挥老干部、老教师等“五老”优势，开展新时代关心下一代各项活动</w:t>
            </w:r>
          </w:p>
        </w:tc>
      </w:tr>
      <w:tr w14:paraId="213DD052">
        <w:tblPrEx>
          <w:tblCellMar>
            <w:top w:w="0" w:type="dxa"/>
            <w:left w:w="108" w:type="dxa"/>
            <w:bottom w:w="0" w:type="dxa"/>
            <w:right w:w="108" w:type="dxa"/>
          </w:tblCellMar>
        </w:tblPrEx>
        <w:trPr>
          <w:cantSplit/>
          <w:trHeight w:val="463"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EBA24">
            <w:pPr>
              <w:textAlignment w:val="center"/>
              <w:rPr>
                <w:rFonts w:hint="default" w:ascii="Times New Roman" w:hAnsi="Times New Roman" w:eastAsia="方正仿宋_GBK" w:cs="Times New Roman"/>
                <w:lang w:eastAsia="zh-CN" w:bidi="ar"/>
              </w:rPr>
            </w:pPr>
            <w:r>
              <w:rPr>
                <w:rStyle w:val="21"/>
                <w:rFonts w:hint="default" w:ascii="Times New Roman" w:hAnsi="Times New Roman" w:eastAsia="方正黑体_GBK" w:cs="Times New Roman"/>
                <w:color w:val="auto"/>
                <w:lang w:val="en-US" w:eastAsia="zh-CN" w:bidi="ar"/>
              </w:rPr>
              <w:t>二</w:t>
            </w:r>
            <w:r>
              <w:rPr>
                <w:rStyle w:val="21"/>
                <w:rFonts w:hint="default" w:ascii="Times New Roman" w:hAnsi="Times New Roman" w:eastAsia="方正黑体_GBK" w:cs="Times New Roman"/>
                <w:color w:val="auto"/>
                <w:lang w:eastAsia="zh-CN" w:bidi="ar"/>
              </w:rPr>
              <w:t>、</w:t>
            </w:r>
            <w:r>
              <w:rPr>
                <w:rStyle w:val="21"/>
                <w:rFonts w:hint="default" w:ascii="Times New Roman" w:hAnsi="Times New Roman" w:eastAsia="方正黑体_GBK" w:cs="Times New Roman"/>
                <w:color w:val="auto"/>
                <w:lang w:val="en-US" w:eastAsia="zh-CN" w:bidi="ar"/>
              </w:rPr>
              <w:t>经济发展</w:t>
            </w:r>
            <w:r>
              <w:rPr>
                <w:rStyle w:val="21"/>
                <w:rFonts w:hint="default" w:ascii="Times New Roman" w:hAnsi="Times New Roman" w:eastAsia="方正黑体_GBK" w:cs="Times New Roman"/>
                <w:color w:val="auto"/>
                <w:lang w:eastAsia="zh-CN" w:bidi="ar"/>
              </w:rPr>
              <w:t>（</w:t>
            </w:r>
            <w:r>
              <w:rPr>
                <w:rStyle w:val="21"/>
                <w:rFonts w:hint="default" w:ascii="Times New Roman" w:hAnsi="Times New Roman" w:eastAsia="方正黑体_GBK" w:cs="Times New Roman"/>
                <w:color w:val="auto"/>
                <w:lang w:val="en-US" w:eastAsia="zh-CN" w:bidi="ar"/>
              </w:rPr>
              <w:t>14</w:t>
            </w:r>
            <w:r>
              <w:rPr>
                <w:rStyle w:val="21"/>
                <w:rFonts w:hint="default" w:ascii="Times New Roman" w:hAnsi="Times New Roman" w:eastAsia="方正黑体_GBK" w:cs="Times New Roman"/>
                <w:color w:val="auto"/>
                <w:lang w:eastAsia="zh-CN" w:bidi="ar"/>
              </w:rPr>
              <w:t>项）</w:t>
            </w:r>
          </w:p>
        </w:tc>
      </w:tr>
      <w:tr w14:paraId="2A073412">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B1C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DA3A">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落实高质量发展产业政策和发展规划，推动固定资产投资建设</w:t>
            </w:r>
          </w:p>
        </w:tc>
      </w:tr>
      <w:tr w14:paraId="4FCD5DCA">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EC5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B034">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开展服务业等领域招商引资，落实服务帮办、指导培育和政策扶持</w:t>
            </w:r>
          </w:p>
        </w:tc>
      </w:tr>
      <w:tr w14:paraId="06F45D98">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21DA">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A495">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推进社会信用体系建设，落实优化营商环境政策</w:t>
            </w:r>
          </w:p>
        </w:tc>
      </w:tr>
      <w:tr w14:paraId="1739F43F">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1C78">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A7ED">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建立生态产品价值实现机制，高质量建设黄河故道生态富民廊道</w:t>
            </w:r>
          </w:p>
        </w:tc>
      </w:tr>
      <w:tr w14:paraId="22F218BC">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BAD4">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1530">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负责辖区内外资、外贸以及电商企业的培育管理，做好货物和服务贸易帮办工作</w:t>
            </w:r>
          </w:p>
        </w:tc>
      </w:tr>
      <w:tr w14:paraId="0BC1E446">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A60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4928">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监测重点经济指标，培育（新增）规上服务业、建筑业、限上贸易业等企业</w:t>
            </w:r>
          </w:p>
        </w:tc>
      </w:tr>
      <w:tr w14:paraId="62473BDA">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1BA4">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C2BE">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引导商务系统内商会发挥经济服务、诉求反映、权益维护等职能</w:t>
            </w:r>
          </w:p>
        </w:tc>
      </w:tr>
      <w:tr w14:paraId="56100A82">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CCA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7610">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开展科技政策宣传，推进运用技术的普及与推广</w:t>
            </w:r>
          </w:p>
        </w:tc>
      </w:tr>
      <w:tr w14:paraId="3F487F84">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7EEE">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1A4F">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推进创业空间提质升级，在制造业、现代服务业等重点领域形成产业链，引育数字经济企业</w:t>
            </w:r>
          </w:p>
        </w:tc>
      </w:tr>
      <w:tr w14:paraId="24F1F1E1">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4FA3">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0EC2">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推进服务业项目建设，承担对知识产权、现代服务业等涉企奖补资金初审、上报</w:t>
            </w:r>
          </w:p>
        </w:tc>
      </w:tr>
      <w:tr w14:paraId="33529897">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C611">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415A">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开展人口、经济、农业等领域的调查统计，落实抽样调查工作</w:t>
            </w:r>
          </w:p>
        </w:tc>
      </w:tr>
      <w:tr w14:paraId="6B5729E7">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0CF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4D03">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承担街道办事处政府性债务的风险监测和防范化解</w:t>
            </w:r>
          </w:p>
        </w:tc>
      </w:tr>
      <w:tr w14:paraId="54419F7E">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BA6C">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2420">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落实对国有资产的监督管理，严格执行内部审计制度</w:t>
            </w:r>
          </w:p>
        </w:tc>
      </w:tr>
      <w:tr w14:paraId="4C79C60D">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D72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2E22">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打造高品质消费休闲街区，推进中央商场商圈、商务楼宇、黉学街等特色街区业态提质升级</w:t>
            </w:r>
          </w:p>
        </w:tc>
      </w:tr>
      <w:tr w14:paraId="063E7DF6">
        <w:tblPrEx>
          <w:tblCellMar>
            <w:top w:w="0" w:type="dxa"/>
            <w:left w:w="108" w:type="dxa"/>
            <w:bottom w:w="0" w:type="dxa"/>
            <w:right w:w="108" w:type="dxa"/>
          </w:tblCellMar>
        </w:tblPrEx>
        <w:trPr>
          <w:cantSplit/>
          <w:trHeight w:val="463"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32E11">
            <w:pPr>
              <w:textAlignment w:val="center"/>
              <w:rPr>
                <w:rFonts w:hint="default" w:ascii="Times New Roman" w:hAnsi="Times New Roman" w:eastAsia="方正仿宋_GBK" w:cs="Times New Roman"/>
                <w:lang w:eastAsia="zh-CN" w:bidi="ar"/>
              </w:rPr>
            </w:pPr>
            <w:r>
              <w:rPr>
                <w:rStyle w:val="21"/>
                <w:rFonts w:hint="default" w:ascii="Times New Roman" w:hAnsi="Times New Roman" w:eastAsia="方正黑体_GBK" w:cs="Times New Roman"/>
                <w:color w:val="auto"/>
                <w:lang w:val="en-US" w:eastAsia="zh-CN" w:bidi="ar"/>
              </w:rPr>
              <w:t>三、民生服务（20项）</w:t>
            </w:r>
          </w:p>
        </w:tc>
      </w:tr>
      <w:tr w14:paraId="3F8475F2">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68D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67DC">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落实生育登记服务制度，发放计划生育奖补资金</w:t>
            </w:r>
          </w:p>
        </w:tc>
      </w:tr>
      <w:tr w14:paraId="3183FC75">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384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4634">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支持学前教育、幼儿园发展，保障学龄前儿童接受学前教育</w:t>
            </w:r>
          </w:p>
        </w:tc>
      </w:tr>
      <w:tr w14:paraId="7C849285">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B696">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780E">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开展控辍保学工作，保障适龄儿童、少年接受义务教育</w:t>
            </w:r>
          </w:p>
        </w:tc>
      </w:tr>
      <w:tr w14:paraId="5AE826A2">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909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5ACF">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推进未成年人保护站建设，开展困境儿童基本生活保障申请受理、审核、申报、救助工作</w:t>
            </w:r>
          </w:p>
        </w:tc>
      </w:tr>
      <w:tr w14:paraId="5E53C4E2">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C25A">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87B6">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开展对高校毕业生等青年群体的择业状况调查、组织就业见习</w:t>
            </w:r>
          </w:p>
        </w:tc>
      </w:tr>
      <w:tr w14:paraId="28CC6A05">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EC7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7E92">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开展失业、就业人员的登记和管理，提供临时性公益性岗位、记账户入户等就业援助服务</w:t>
            </w:r>
          </w:p>
        </w:tc>
      </w:tr>
      <w:tr w14:paraId="56D152A3">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DCF9">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8002">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承担对企业单位医疗保险开户登记、灵活就业人员与辖区居民参加医保登记管理工作</w:t>
            </w:r>
          </w:p>
        </w:tc>
      </w:tr>
      <w:tr w14:paraId="7E5823EA">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782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2B00">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承担异地安置退休人员、长期异地居住人员、常驻异地工作人员的就医备案</w:t>
            </w:r>
          </w:p>
        </w:tc>
      </w:tr>
      <w:tr w14:paraId="3E6A040D">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7CE8">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4015">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开展对企业职工（含灵活就业人员）和辖区居民基本养老保险参保、缴费、年审和体检等工作</w:t>
            </w:r>
          </w:p>
        </w:tc>
      </w:tr>
      <w:tr w14:paraId="30632622">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6B3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8EE1">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负责公共场所卫生管理，开展传染病预防监控和群防群治工作</w:t>
            </w:r>
          </w:p>
        </w:tc>
      </w:tr>
      <w:tr w14:paraId="12847BD1">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DFEA">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F807">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推进爱国卫生运动，开展“除四害”、公共场所控烟以及健康教育促进工作</w:t>
            </w:r>
          </w:p>
        </w:tc>
      </w:tr>
      <w:tr w14:paraId="708A61E7">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94AB">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CEAB">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推进“残疾人之家”建设，为残疾人群体（含精神残疾）提供优待帮扶和救助服务</w:t>
            </w:r>
          </w:p>
        </w:tc>
      </w:tr>
      <w:tr w14:paraId="54CEB906">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F618">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9C9A">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承担对辖区内80岁以上老人尊老金的宣传、受理、审核、上报和年审工作</w:t>
            </w:r>
          </w:p>
        </w:tc>
      </w:tr>
      <w:tr w14:paraId="4F924AC0">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174D">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E749">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负责辖区内养老机构管理</w:t>
            </w:r>
          </w:p>
        </w:tc>
      </w:tr>
      <w:tr w14:paraId="4DBC374D">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447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F764">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开展特殊困难老年人关心关爱工作，为辖区内高龄、经济困难家庭失能老年人提供居家养老服务</w:t>
            </w:r>
          </w:p>
        </w:tc>
      </w:tr>
      <w:tr w14:paraId="52527334">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6E38">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39A2">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开展辖区内特殊困难群体摸排、帮扶和救助，办理临时救助工作</w:t>
            </w:r>
          </w:p>
        </w:tc>
      </w:tr>
      <w:tr w14:paraId="47FD7412">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B35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B4B5">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开展殡葬服务和公墓管理，推进移风易俗工作</w:t>
            </w:r>
          </w:p>
        </w:tc>
      </w:tr>
      <w:tr w14:paraId="3B7B635D">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9D7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72E7">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负责对退役军人、伤残军人、义务兵、烈士等补助补贴资金的申请、初审和年审工作</w:t>
            </w:r>
          </w:p>
        </w:tc>
      </w:tr>
      <w:tr w14:paraId="1FFB5A39">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0F46">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i w:val="0"/>
                <w:iCs w:val="0"/>
                <w:snapToGrid w:val="0"/>
                <w:color w:val="000000"/>
                <w:kern w:val="0"/>
                <w:sz w:val="21"/>
                <w:szCs w:val="21"/>
                <w:u w:val="none"/>
                <w:lang w:val="en-US" w:eastAsia="zh-CN" w:bidi="ar"/>
              </w:rPr>
              <w:t>52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C2CA">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承担对现役军人和退役军人的荣誉彰显和服务保障，开展走访慰问、就业创业支持、典型选树、军地共建等拥军优属工作</w:t>
            </w:r>
          </w:p>
        </w:tc>
      </w:tr>
      <w:tr w14:paraId="54DA1F9C">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226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i w:val="0"/>
                <w:iCs w:val="0"/>
                <w:snapToGrid w:val="0"/>
                <w:color w:val="000000"/>
                <w:kern w:val="0"/>
                <w:sz w:val="21"/>
                <w:szCs w:val="21"/>
                <w:u w:val="none"/>
                <w:lang w:val="en-US" w:eastAsia="zh-CN" w:bidi="ar"/>
              </w:rPr>
              <w:t>53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40D5">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开展慈善公益宣传、慈善募捐等活动</w:t>
            </w:r>
          </w:p>
        </w:tc>
      </w:tr>
      <w:tr w14:paraId="356C132A">
        <w:tblPrEx>
          <w:tblCellMar>
            <w:top w:w="0" w:type="dxa"/>
            <w:left w:w="108" w:type="dxa"/>
            <w:bottom w:w="0" w:type="dxa"/>
            <w:right w:w="108" w:type="dxa"/>
          </w:tblCellMar>
        </w:tblPrEx>
        <w:trPr>
          <w:cantSplit/>
          <w:trHeight w:val="463"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363A0">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Style w:val="21"/>
                <w:rFonts w:hint="default" w:ascii="Times New Roman" w:hAnsi="Times New Roman" w:eastAsia="方正黑体_GBK" w:cs="Times New Roman"/>
                <w:color w:val="auto"/>
                <w:lang w:val="en-US" w:eastAsia="zh-CN" w:bidi="ar"/>
              </w:rPr>
              <w:t>四、平安法治（11项）</w:t>
            </w:r>
          </w:p>
        </w:tc>
      </w:tr>
      <w:tr w14:paraId="14B172B1">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7EE4">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534F">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推进法治政府建设，健全法律顾问制度</w:t>
            </w:r>
          </w:p>
        </w:tc>
      </w:tr>
      <w:tr w14:paraId="60ADCAED">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3D4C">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B360">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负责行政诉讼案件的应诉答辩和裁判履行，承担行政复议答复、复议决定履行工作</w:t>
            </w:r>
          </w:p>
        </w:tc>
      </w:tr>
      <w:tr w14:paraId="3D29E08C">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5BB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9C0D">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开展法治宣传教育，推进普法工作常态化</w:t>
            </w:r>
          </w:p>
        </w:tc>
      </w:tr>
      <w:tr w14:paraId="0FCA7728">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3111">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ECB7">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健全公共法律服务体系，推进法律服务平台建设</w:t>
            </w:r>
          </w:p>
        </w:tc>
      </w:tr>
      <w:tr w14:paraId="7140F603">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EBF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0E05">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推进人民调解组织建设，开展社会矛盾纠纷化解工作</w:t>
            </w:r>
          </w:p>
        </w:tc>
      </w:tr>
      <w:tr w14:paraId="3042B40F">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DD36">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13FA">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预防和化解劳动矛盾纠纷，开展劳资争议协商调解工作</w:t>
            </w:r>
          </w:p>
        </w:tc>
      </w:tr>
      <w:tr w14:paraId="002BC16A">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BB7E">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282E">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负责社区矫正对象的监督管理、教育帮扶工作，做好安置帮教工作</w:t>
            </w:r>
          </w:p>
        </w:tc>
      </w:tr>
      <w:tr w14:paraId="05F81251">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17C2">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2AEF">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开展禁毒铲毒、扫黑除恶、反电诈、反邪教、防范非法集资等宣传教育工作</w:t>
            </w:r>
          </w:p>
        </w:tc>
      </w:tr>
      <w:tr w14:paraId="7977970D">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AD1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9035">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推进网格规范化建设，常态化开展网格管理服务工作</w:t>
            </w:r>
          </w:p>
        </w:tc>
      </w:tr>
      <w:tr w14:paraId="06B5E99B">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62F1">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3AD0">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推进全民国防教育和国防动员工作，开展国防教育各项活动</w:t>
            </w:r>
          </w:p>
        </w:tc>
      </w:tr>
      <w:tr w14:paraId="70B40243">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421B">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067B">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承担征兵宣传、登记、初审等工作，开展民兵组织与民兵阵地规范化建设</w:t>
            </w:r>
          </w:p>
        </w:tc>
      </w:tr>
      <w:tr w14:paraId="7BCAAEC4">
        <w:tblPrEx>
          <w:tblCellMar>
            <w:top w:w="0" w:type="dxa"/>
            <w:left w:w="108" w:type="dxa"/>
            <w:bottom w:w="0" w:type="dxa"/>
            <w:right w:w="108" w:type="dxa"/>
          </w:tblCellMar>
        </w:tblPrEx>
        <w:trPr>
          <w:cantSplit/>
          <w:trHeight w:val="463"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EE3EE">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Style w:val="21"/>
                <w:rFonts w:hint="default" w:ascii="Times New Roman" w:hAnsi="Times New Roman" w:eastAsia="方正黑体_GBK" w:cs="Times New Roman"/>
                <w:color w:val="auto"/>
                <w:lang w:val="en-US" w:eastAsia="zh-CN" w:bidi="ar"/>
              </w:rPr>
              <w:t>五、乡村振兴（13项）</w:t>
            </w:r>
          </w:p>
        </w:tc>
      </w:tr>
      <w:tr w14:paraId="33B8D7B9">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F61D">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5A18">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落实耕地保护措施，制止耕地“非农化”行为</w:t>
            </w:r>
          </w:p>
        </w:tc>
      </w:tr>
      <w:tr w14:paraId="77063A66">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C75E">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43F8">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开展小型农田水利工程管护、农业灌溉等工作</w:t>
            </w:r>
          </w:p>
        </w:tc>
      </w:tr>
      <w:tr w14:paraId="14B07BEA">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7DD2">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F443">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开展设施农用地备案管理工作</w:t>
            </w:r>
          </w:p>
        </w:tc>
      </w:tr>
      <w:tr w14:paraId="03E0B686">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0E66">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25AF">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推进智慧农业建设应用，提升粮食种植、设施栽培智慧化覆盖率</w:t>
            </w:r>
          </w:p>
        </w:tc>
      </w:tr>
      <w:tr w14:paraId="2E85B666">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8B1C">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2780">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承担农产品质量安全信用体系建设，开展农产品质量安全管理</w:t>
            </w:r>
          </w:p>
        </w:tc>
      </w:tr>
      <w:tr w14:paraId="676F9FAB">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990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BD9A">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开展农业技术推广，承担农业机械年审、勘察和投诉处理</w:t>
            </w:r>
            <w:r>
              <w:rPr>
                <w:rFonts w:hint="eastAsia" w:ascii="Times New Roman" w:hAnsi="Times New Roman" w:eastAsia="方正仿宋_GBK" w:cs="Times New Roman"/>
                <w:lang w:val="en-US" w:eastAsia="zh-CN" w:bidi="ar"/>
              </w:rPr>
              <w:t>等</w:t>
            </w:r>
            <w:bookmarkStart w:id="0" w:name="_GoBack"/>
            <w:bookmarkEnd w:id="0"/>
            <w:r>
              <w:rPr>
                <w:rFonts w:hint="default" w:ascii="Times New Roman" w:hAnsi="Times New Roman" w:eastAsia="方正仿宋_GBK" w:cs="Times New Roman"/>
                <w:lang w:val="en-US" w:eastAsia="zh-CN" w:bidi="ar"/>
              </w:rPr>
              <w:t>工作</w:t>
            </w:r>
          </w:p>
        </w:tc>
      </w:tr>
      <w:tr w14:paraId="7910E9DD">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84A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B3E0">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培育新型农业经营主体，打造本地特色农产品品牌</w:t>
            </w:r>
          </w:p>
        </w:tc>
      </w:tr>
      <w:tr w14:paraId="5A494F9E">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101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F43A">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负责水产养殖管理、渔业资源保护、渔业技术推广</w:t>
            </w:r>
          </w:p>
        </w:tc>
      </w:tr>
      <w:tr w14:paraId="20A4EB8F">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206B">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AC9D">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负责植树造林、林木防火知识宣传和火灾预防等工作</w:t>
            </w:r>
          </w:p>
        </w:tc>
      </w:tr>
      <w:tr w14:paraId="10363469">
        <w:tblPrEx>
          <w:tblCellMar>
            <w:top w:w="0" w:type="dxa"/>
            <w:left w:w="108" w:type="dxa"/>
            <w:bottom w:w="0" w:type="dxa"/>
            <w:right w:w="108" w:type="dxa"/>
          </w:tblCellMar>
        </w:tblPrEx>
        <w:trPr>
          <w:cantSplit/>
          <w:trHeight w:val="62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FD8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F72E">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承担对侵害土地承包经营权以及林地使用权行为的调查处理</w:t>
            </w:r>
          </w:p>
        </w:tc>
      </w:tr>
      <w:tr w14:paraId="1D4D7898">
        <w:tblPrEx>
          <w:tblCellMar>
            <w:top w:w="0" w:type="dxa"/>
            <w:left w:w="108" w:type="dxa"/>
            <w:bottom w:w="0" w:type="dxa"/>
            <w:right w:w="108" w:type="dxa"/>
          </w:tblCellMar>
        </w:tblPrEx>
        <w:trPr>
          <w:cantSplit/>
          <w:trHeight w:val="62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2088">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5CDC">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开展对农村土地承包经营、流转及延续的审批备案</w:t>
            </w:r>
          </w:p>
        </w:tc>
      </w:tr>
      <w:tr w14:paraId="4CD88891">
        <w:tblPrEx>
          <w:tblCellMar>
            <w:top w:w="0" w:type="dxa"/>
            <w:left w:w="108" w:type="dxa"/>
            <w:bottom w:w="0" w:type="dxa"/>
            <w:right w:w="108" w:type="dxa"/>
          </w:tblCellMar>
        </w:tblPrEx>
        <w:trPr>
          <w:cantSplit/>
          <w:trHeight w:val="62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E5A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362C">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推进社区党务、居务、财务公开，加强对涉农资金、农业保险等的监管</w:t>
            </w:r>
          </w:p>
        </w:tc>
      </w:tr>
      <w:tr w14:paraId="11839E3C">
        <w:tblPrEx>
          <w:tblCellMar>
            <w:top w:w="0" w:type="dxa"/>
            <w:left w:w="108" w:type="dxa"/>
            <w:bottom w:w="0" w:type="dxa"/>
            <w:right w:w="108" w:type="dxa"/>
          </w:tblCellMar>
        </w:tblPrEx>
        <w:trPr>
          <w:cantSplit/>
          <w:trHeight w:val="62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ED4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8514">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承担对社区资产、资源和资金的使用管理，提高集体经营性收入水平</w:t>
            </w:r>
          </w:p>
        </w:tc>
      </w:tr>
      <w:tr w14:paraId="6641283E">
        <w:tblPrEx>
          <w:tblCellMar>
            <w:top w:w="0" w:type="dxa"/>
            <w:left w:w="108" w:type="dxa"/>
            <w:bottom w:w="0" w:type="dxa"/>
            <w:right w:w="108" w:type="dxa"/>
          </w:tblCellMar>
        </w:tblPrEx>
        <w:trPr>
          <w:cantSplit/>
          <w:trHeight w:val="624"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E6066">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Style w:val="21"/>
                <w:rFonts w:hint="default" w:ascii="Times New Roman" w:hAnsi="Times New Roman" w:eastAsia="方正黑体_GBK" w:cs="Times New Roman"/>
                <w:color w:val="auto"/>
                <w:lang w:val="en-US" w:eastAsia="zh-CN" w:bidi="ar"/>
              </w:rPr>
              <w:t>六、生态环保（8项）</w:t>
            </w:r>
          </w:p>
        </w:tc>
      </w:tr>
      <w:tr w14:paraId="10342A8C">
        <w:tblPrEx>
          <w:tblCellMar>
            <w:top w:w="0" w:type="dxa"/>
            <w:left w:w="108" w:type="dxa"/>
            <w:bottom w:w="0" w:type="dxa"/>
            <w:right w:w="108" w:type="dxa"/>
          </w:tblCellMar>
        </w:tblPrEx>
        <w:trPr>
          <w:cantSplit/>
          <w:trHeight w:val="62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A986">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DD2E">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按照职责分工负责本行政区域内生态环境保护工作及生态环境质量，动员和组织社会力量积极参与并认真做好污染源普查工作</w:t>
            </w:r>
          </w:p>
        </w:tc>
      </w:tr>
      <w:tr w14:paraId="4F371383">
        <w:tblPrEx>
          <w:tblCellMar>
            <w:top w:w="0" w:type="dxa"/>
            <w:left w:w="108" w:type="dxa"/>
            <w:bottom w:w="0" w:type="dxa"/>
            <w:right w:w="108" w:type="dxa"/>
          </w:tblCellMar>
        </w:tblPrEx>
        <w:trPr>
          <w:cantSplit/>
          <w:trHeight w:val="62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20E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6C8D">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开展水体管护工作，做好街道管辖河道的日常清漂、保洁和维护</w:t>
            </w:r>
          </w:p>
        </w:tc>
      </w:tr>
      <w:tr w14:paraId="194F0803">
        <w:tblPrEx>
          <w:tblCellMar>
            <w:top w:w="0" w:type="dxa"/>
            <w:left w:w="108" w:type="dxa"/>
            <w:bottom w:w="0" w:type="dxa"/>
            <w:right w:w="108" w:type="dxa"/>
          </w:tblCellMar>
        </w:tblPrEx>
        <w:trPr>
          <w:cantSplit/>
          <w:trHeight w:val="62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7EE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6E6D">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推进秸秆还田与综合利用</w:t>
            </w:r>
          </w:p>
        </w:tc>
      </w:tr>
      <w:tr w14:paraId="378FF757">
        <w:tblPrEx>
          <w:tblCellMar>
            <w:top w:w="0" w:type="dxa"/>
            <w:left w:w="108" w:type="dxa"/>
            <w:bottom w:w="0" w:type="dxa"/>
            <w:right w:w="108" w:type="dxa"/>
          </w:tblCellMar>
        </w:tblPrEx>
        <w:trPr>
          <w:cantSplit/>
          <w:trHeight w:val="62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F78A">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9C2C">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开展建设工程施工现场扬尘污染防控治理，依法制止建筑垃圾非法处置行为</w:t>
            </w:r>
          </w:p>
        </w:tc>
      </w:tr>
      <w:tr w14:paraId="30388DC5">
        <w:tblPrEx>
          <w:tblCellMar>
            <w:top w:w="0" w:type="dxa"/>
            <w:left w:w="108" w:type="dxa"/>
            <w:bottom w:w="0" w:type="dxa"/>
            <w:right w:w="108" w:type="dxa"/>
          </w:tblCellMar>
        </w:tblPrEx>
        <w:trPr>
          <w:cantSplit/>
          <w:trHeight w:val="62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BDE1">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3A87">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负责辖区范围内餐饮业经营行为的日常监管，做好餐厨废弃物的收集处理</w:t>
            </w:r>
          </w:p>
        </w:tc>
      </w:tr>
      <w:tr w14:paraId="23217FF3">
        <w:tblPrEx>
          <w:tblCellMar>
            <w:top w:w="0" w:type="dxa"/>
            <w:left w:w="108" w:type="dxa"/>
            <w:bottom w:w="0" w:type="dxa"/>
            <w:right w:w="108" w:type="dxa"/>
          </w:tblCellMar>
        </w:tblPrEx>
        <w:trPr>
          <w:cantSplit/>
          <w:trHeight w:val="62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458B">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F049">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开展节水抗旱宣传教育，落实节约用水措施</w:t>
            </w:r>
          </w:p>
        </w:tc>
      </w:tr>
      <w:tr w14:paraId="79BC3C06">
        <w:tblPrEx>
          <w:tblCellMar>
            <w:top w:w="0" w:type="dxa"/>
            <w:left w:w="108" w:type="dxa"/>
            <w:bottom w:w="0" w:type="dxa"/>
            <w:right w:w="108" w:type="dxa"/>
          </w:tblCellMar>
        </w:tblPrEx>
        <w:trPr>
          <w:cantSplit/>
          <w:trHeight w:val="62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C88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7DAA">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实施水土保持方案，开展水土巡查，预防和减轻水土流失等工作</w:t>
            </w:r>
          </w:p>
        </w:tc>
      </w:tr>
      <w:tr w14:paraId="7F3E7236">
        <w:tblPrEx>
          <w:tblCellMar>
            <w:top w:w="0" w:type="dxa"/>
            <w:left w:w="108" w:type="dxa"/>
            <w:bottom w:w="0" w:type="dxa"/>
            <w:right w:w="108" w:type="dxa"/>
          </w:tblCellMar>
        </w:tblPrEx>
        <w:trPr>
          <w:cantSplit/>
          <w:trHeight w:val="62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100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8FB5">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snapToGrid w:val="0"/>
                <w:color w:val="000000"/>
                <w:kern w:val="0"/>
                <w:szCs w:val="21"/>
                <w:lang w:val="en-US" w:eastAsia="zh-CN" w:bidi="ar"/>
              </w:rPr>
              <w:t>开展垃圾分类宣传，建立收集转运体系，加强设施设备管护</w:t>
            </w:r>
          </w:p>
        </w:tc>
      </w:tr>
      <w:tr w14:paraId="44E24A72">
        <w:tblPrEx>
          <w:tblCellMar>
            <w:top w:w="0" w:type="dxa"/>
            <w:left w:w="108" w:type="dxa"/>
            <w:bottom w:w="0" w:type="dxa"/>
            <w:right w:w="108" w:type="dxa"/>
          </w:tblCellMar>
        </w:tblPrEx>
        <w:trPr>
          <w:cantSplit/>
          <w:trHeight w:val="463"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84A43">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Style w:val="21"/>
                <w:rFonts w:hint="default" w:ascii="Times New Roman" w:hAnsi="Times New Roman" w:eastAsia="方正黑体_GBK" w:cs="Times New Roman"/>
                <w:color w:val="auto"/>
                <w:lang w:val="en-US" w:eastAsia="zh-CN" w:bidi="ar"/>
              </w:rPr>
              <w:t>七、城乡建设（14项）</w:t>
            </w:r>
          </w:p>
        </w:tc>
      </w:tr>
      <w:tr w14:paraId="1618DC78">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4A7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017F">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方正仿宋_GBK" w:cs="Times New Roman"/>
                <w:lang w:val="en-US" w:eastAsia="zh-CN" w:bidi="ar"/>
              </w:rPr>
              <w:t>落实城镇建设规划，优化空间布局形态</w:t>
            </w:r>
          </w:p>
        </w:tc>
      </w:tr>
      <w:tr w14:paraId="6F6FE56D">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A8E1">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B340">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开展农用地转用工作，落实社会稳定风险评估、公告和补偿安置协议签订</w:t>
            </w:r>
          </w:p>
        </w:tc>
      </w:tr>
      <w:tr w14:paraId="313228EC">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1D9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CE3B">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负责对违反城市道路和桥梁管理行为开展巡查处置</w:t>
            </w:r>
          </w:p>
        </w:tc>
      </w:tr>
      <w:tr w14:paraId="119D713F">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4641">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CEA7">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开展街巷道路、小区道路的管理养护，承担对市政道路的日常巡查</w:t>
            </w:r>
          </w:p>
        </w:tc>
      </w:tr>
      <w:tr w14:paraId="463476C8">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2FAD">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5739">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承担对辖区内绿化设施的日常管理维护，依法制止破坏绿化行为</w:t>
            </w:r>
          </w:p>
        </w:tc>
      </w:tr>
      <w:tr w14:paraId="7D6B79D4">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225B">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045D">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负责对宅基地使用的监督管理</w:t>
            </w:r>
          </w:p>
        </w:tc>
      </w:tr>
      <w:tr w14:paraId="04A7F9CF">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079D">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B1E3">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开展老旧小区和危房改造工作</w:t>
            </w:r>
          </w:p>
        </w:tc>
      </w:tr>
      <w:tr w14:paraId="568A2F5A">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5A5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AB2D">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推进小区物业管理服务，调解物业管理纠纷、业委会管理、物业公司招标、智慧物业平台管理等工作</w:t>
            </w:r>
          </w:p>
        </w:tc>
      </w:tr>
      <w:tr w14:paraId="363817DD">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E0F4">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6E86">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开展市容环境提质、基础设施更新等公共空间治理</w:t>
            </w:r>
            <w:r>
              <w:rPr>
                <w:rFonts w:hint="default" w:ascii="Times New Roman" w:hAnsi="Times New Roman" w:eastAsia="方正仿宋_GBK" w:cs="Times New Roman"/>
                <w:b w:val="0"/>
                <w:snapToGrid w:val="0"/>
                <w:color w:val="auto"/>
                <w:kern w:val="0"/>
                <w:sz w:val="21"/>
                <w:szCs w:val="21"/>
                <w:lang w:val="en-US" w:eastAsia="zh-CN" w:bidi="ar"/>
              </w:rPr>
              <w:t>，承担卫生公共厕所管理维护</w:t>
            </w:r>
          </w:p>
        </w:tc>
      </w:tr>
      <w:tr w14:paraId="53E314F8">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C99D">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46CA">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开展对公共场地临时堆放物料、搭建临时设施的审批，依法对违法堆放或搭建行为进行巡查处置</w:t>
            </w:r>
          </w:p>
        </w:tc>
      </w:tr>
      <w:tr w14:paraId="3E45AF5F">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154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6985">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开展市容环境卫生监督管理，依法制止破坏市容环境行为</w:t>
            </w:r>
          </w:p>
        </w:tc>
      </w:tr>
      <w:tr w14:paraId="6BC8A074">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5DD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37DD">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开展辖区内店铺门头招牌设置监管并做好备案，依法制止违法经营行为</w:t>
            </w:r>
          </w:p>
        </w:tc>
      </w:tr>
      <w:tr w14:paraId="23A9C126">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7E5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2675">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负责推进智慧城管与信用城管建设</w:t>
            </w:r>
          </w:p>
        </w:tc>
      </w:tr>
      <w:tr w14:paraId="72CAFFE4">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DE7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15A5">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负责落实城市更新行动计划，推进果园片区开发建设</w:t>
            </w:r>
          </w:p>
        </w:tc>
      </w:tr>
      <w:tr w14:paraId="5150575A">
        <w:tblPrEx>
          <w:tblCellMar>
            <w:top w:w="0" w:type="dxa"/>
            <w:left w:w="108" w:type="dxa"/>
            <w:bottom w:w="0" w:type="dxa"/>
            <w:right w:w="108" w:type="dxa"/>
          </w:tblCellMar>
        </w:tblPrEx>
        <w:trPr>
          <w:cantSplit/>
          <w:trHeight w:val="463"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80E3A">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Style w:val="21"/>
                <w:rFonts w:hint="default" w:ascii="Times New Roman" w:hAnsi="Times New Roman" w:eastAsia="方正黑体_GBK" w:cs="Times New Roman"/>
                <w:color w:val="auto"/>
                <w:lang w:val="en-US" w:eastAsia="zh-CN" w:bidi="ar"/>
              </w:rPr>
              <w:t>八、文化和旅游（5项）</w:t>
            </w:r>
          </w:p>
        </w:tc>
      </w:tr>
      <w:tr w14:paraId="59C40BCE">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BB13">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EB50">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健全公共文化服务体系，培育、发展、壮大文化产业和文化事业</w:t>
            </w:r>
          </w:p>
        </w:tc>
      </w:tr>
      <w:tr w14:paraId="5C53C6D9">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CBE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7FEE">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组织创作文艺作品，开展公共文化活动，挖掘本土特色文化</w:t>
            </w:r>
          </w:p>
        </w:tc>
      </w:tr>
      <w:tr w14:paraId="65810310">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0B18">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AFF7">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负责全民健身设施建设、文体场馆管理，为群众性体育活动提供服务保障</w:t>
            </w:r>
          </w:p>
        </w:tc>
      </w:tr>
      <w:tr w14:paraId="238B5E64">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83C9">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E366">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组织落实“扫黄打非”专项工作，推进出版物市场健康发展</w:t>
            </w:r>
          </w:p>
        </w:tc>
      </w:tr>
      <w:tr w14:paraId="792BC33F">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F0C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77F7">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负责招引并推动文旅产业配套项目落户景区，支持和保障项王故里文旅消费集聚区发展</w:t>
            </w:r>
          </w:p>
        </w:tc>
      </w:tr>
      <w:tr w14:paraId="6DAC96BF">
        <w:tblPrEx>
          <w:tblCellMar>
            <w:top w:w="0" w:type="dxa"/>
            <w:left w:w="108" w:type="dxa"/>
            <w:bottom w:w="0" w:type="dxa"/>
            <w:right w:w="108" w:type="dxa"/>
          </w:tblCellMar>
        </w:tblPrEx>
        <w:trPr>
          <w:cantSplit/>
          <w:trHeight w:val="573"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7F10E">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Style w:val="21"/>
                <w:rFonts w:hint="default" w:ascii="Times New Roman" w:hAnsi="Times New Roman" w:eastAsia="方正黑体_GBK" w:cs="Times New Roman"/>
                <w:color w:val="auto"/>
                <w:lang w:val="en-US" w:eastAsia="zh-CN" w:bidi="ar"/>
              </w:rPr>
              <w:t>九、应急管理及消防（5项）</w:t>
            </w:r>
          </w:p>
        </w:tc>
      </w:tr>
      <w:tr w14:paraId="4E90761A">
        <w:tblPrEx>
          <w:tblCellMar>
            <w:top w:w="0" w:type="dxa"/>
            <w:left w:w="108" w:type="dxa"/>
            <w:bottom w:w="0" w:type="dxa"/>
            <w:right w:w="108" w:type="dxa"/>
          </w:tblCellMar>
        </w:tblPrEx>
        <w:trPr>
          <w:cantSplit/>
          <w:trHeight w:val="72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D71A">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105</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3E0A">
            <w:pPr>
              <w:pStyle w:val="26"/>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方正仿宋_GBK" w:cs="Times New Roman"/>
                <w:snapToGrid w:val="0"/>
                <w:color w:val="000000"/>
                <w:kern w:val="0"/>
                <w:sz w:val="21"/>
                <w:szCs w:val="21"/>
                <w:lang w:val="en-US" w:eastAsia="zh-CN" w:bidi="ar"/>
              </w:rPr>
              <w:t>承担应急管理（含消防）知识宣传普及工作，发生事故灾难、自然灾害等突发事件后第一时间上报，按照突发事件应急预案组织开展群众疏散、初期救援等先期处置工作</w:t>
            </w:r>
          </w:p>
        </w:tc>
      </w:tr>
      <w:tr w14:paraId="5927AE30">
        <w:tblPrEx>
          <w:tblCellMar>
            <w:top w:w="0" w:type="dxa"/>
            <w:left w:w="108" w:type="dxa"/>
            <w:bottom w:w="0" w:type="dxa"/>
            <w:right w:w="108" w:type="dxa"/>
          </w:tblCellMar>
        </w:tblPrEx>
        <w:trPr>
          <w:cantSplit/>
          <w:trHeight w:val="6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742B">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106</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E2E0">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对辖区内安全风险等级较低、问题隐患易发现易处置的生产经营单位（不包括涉及危险化学品、矿山、金属冶炼等生产企业）开展日常检查，督促监管范围内的各类单位落实安全生产主体责任</w:t>
            </w:r>
          </w:p>
        </w:tc>
      </w:tr>
      <w:tr w14:paraId="0D0FBB09">
        <w:tblPrEx>
          <w:tblCellMar>
            <w:top w:w="0" w:type="dxa"/>
            <w:left w:w="108" w:type="dxa"/>
            <w:bottom w:w="0" w:type="dxa"/>
            <w:right w:w="108" w:type="dxa"/>
          </w:tblCellMar>
        </w:tblPrEx>
        <w:trPr>
          <w:cantSplit/>
          <w:trHeight w:val="72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8B31">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107</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EE2C">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按照分级分类监管原则，对辖区内单位、场所（不包括消防安全重点单位）开展易发现、易处置的日常检查，督促监管范围内的各类单位落实消防安全主体责任</w:t>
            </w:r>
          </w:p>
        </w:tc>
      </w:tr>
      <w:tr w14:paraId="5686D887">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668B">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108</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A9FF">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开展自然灾害的受损情况统计及防范救助工作</w:t>
            </w:r>
          </w:p>
        </w:tc>
      </w:tr>
      <w:tr w14:paraId="7371D6CC">
        <w:tblPrEx>
          <w:tblCellMar>
            <w:top w:w="0" w:type="dxa"/>
            <w:left w:w="108" w:type="dxa"/>
            <w:bottom w:w="0" w:type="dxa"/>
            <w:right w:w="108" w:type="dxa"/>
          </w:tblCellMar>
        </w:tblPrEx>
        <w:trPr>
          <w:cantSplit/>
          <w:trHeight w:val="6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81BD">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109</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427F">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落实防汛抗旱工作举措，开展防汛抢险物资筹集和发放</w:t>
            </w:r>
          </w:p>
        </w:tc>
      </w:tr>
      <w:tr w14:paraId="486010AC">
        <w:tblPrEx>
          <w:tblCellMar>
            <w:top w:w="0" w:type="dxa"/>
            <w:left w:w="108" w:type="dxa"/>
            <w:bottom w:w="0" w:type="dxa"/>
            <w:right w:w="108" w:type="dxa"/>
          </w:tblCellMar>
        </w:tblPrEx>
        <w:trPr>
          <w:cantSplit/>
          <w:trHeight w:val="557" w:hRule="atLeast"/>
        </w:trPr>
        <w:tc>
          <w:tcPr>
            <w:tcW w:w="14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F0E4D">
            <w:pP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Style w:val="21"/>
                <w:rFonts w:hint="default" w:ascii="Times New Roman" w:hAnsi="Times New Roman" w:eastAsia="方正黑体_GBK" w:cs="Times New Roman"/>
                <w:color w:val="auto"/>
                <w:lang w:val="en-US" w:eastAsia="zh-CN" w:bidi="ar"/>
              </w:rPr>
              <w:t>十、综合政务（5项）</w:t>
            </w:r>
          </w:p>
        </w:tc>
      </w:tr>
      <w:tr w14:paraId="41696C4B">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CC6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110</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C2BD">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承担公文办理、会务保障、值班值守、信息报送、安全保密及节能减排等工作</w:t>
            </w:r>
          </w:p>
        </w:tc>
      </w:tr>
      <w:tr w14:paraId="39033F8F">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270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111</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C3D2">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落实政府信息公开条例规定，开展政府信息公开与网络问政工作</w:t>
            </w:r>
          </w:p>
        </w:tc>
      </w:tr>
      <w:tr w14:paraId="1D8ACD76">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EB64">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112</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AC5E">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执行预决算、会计核算、资金监管、财务档案管理等基层财政制度</w:t>
            </w:r>
          </w:p>
        </w:tc>
      </w:tr>
      <w:tr w14:paraId="0CE587DA">
        <w:tblPrEx>
          <w:tblCellMar>
            <w:top w:w="0" w:type="dxa"/>
            <w:left w:w="108" w:type="dxa"/>
            <w:bottom w:w="0" w:type="dxa"/>
            <w:right w:w="108" w:type="dxa"/>
          </w:tblCellMar>
        </w:tblPrEx>
        <w:trPr>
          <w:cantSplit/>
          <w:trHeight w:val="58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B2F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113</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2322">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负责档案基础设施建设、档案保管利用和查询服务工作</w:t>
            </w:r>
          </w:p>
        </w:tc>
      </w:tr>
      <w:tr w14:paraId="16250005">
        <w:tblPrEx>
          <w:tblCellMar>
            <w:top w:w="0" w:type="dxa"/>
            <w:left w:w="108" w:type="dxa"/>
            <w:bottom w:w="0" w:type="dxa"/>
            <w:right w:w="108" w:type="dxa"/>
          </w:tblCellMar>
        </w:tblPrEx>
        <w:trPr>
          <w:cantSplit/>
          <w:trHeight w:val="638"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C5B9">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114</w:t>
            </w:r>
          </w:p>
        </w:tc>
        <w:tc>
          <w:tcPr>
            <w:tcW w:w="13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B56B">
            <w:pPr>
              <w:textAlignment w:val="center"/>
              <w:rPr>
                <w:rFonts w:hint="default" w:ascii="Times New Roman" w:hAnsi="Times New Roman" w:eastAsia="方正仿宋_GBK" w:cs="Times New Roman"/>
                <w:lang w:val="en-US" w:eastAsia="zh-CN" w:bidi="ar"/>
              </w:rPr>
            </w:pPr>
            <w:r>
              <w:rPr>
                <w:rFonts w:hint="default" w:ascii="Times New Roman" w:hAnsi="Times New Roman" w:eastAsia="方正仿宋_GBK" w:cs="Times New Roman"/>
                <w:lang w:val="en-US" w:eastAsia="zh-CN" w:bidi="ar"/>
              </w:rPr>
              <w:t>负责地方志、年鉴等收集、整理、编撰工作</w:t>
            </w:r>
          </w:p>
        </w:tc>
      </w:tr>
    </w:tbl>
    <w:p w14:paraId="76CC87C6">
      <w:pPr>
        <w:pStyle w:val="3"/>
        <w:spacing w:before="0" w:after="0" w:line="240" w:lineRule="auto"/>
        <w:jc w:val="center"/>
        <w:rPr>
          <w:rFonts w:hint="default" w:ascii="Times New Roman" w:hAnsi="Times New Roman" w:eastAsia="方正小标宋_GBK" w:cs="Times New Roman"/>
          <w:color w:val="auto"/>
          <w:highlight w:val="none"/>
          <w:lang w:eastAsia="zh-CN" w:bidi="ar"/>
        </w:rPr>
      </w:pPr>
      <w:r>
        <w:rPr>
          <w:rFonts w:hint="default" w:ascii="Times New Roman" w:hAnsi="Times New Roman" w:eastAsia="方正小标宋_GBK" w:cs="Times New Roman"/>
          <w:color w:val="auto"/>
          <w:lang w:eastAsia="zh-CN" w:bidi="ar"/>
        </w:rPr>
        <w:br w:type="page"/>
      </w:r>
      <w:r>
        <w:rPr>
          <w:rFonts w:hint="default" w:ascii="Times New Roman" w:hAnsi="Times New Roman" w:eastAsia="方正小标宋_GBK" w:cs="Times New Roman"/>
          <w:b w:val="0"/>
          <w:bCs w:val="0"/>
          <w:color w:val="auto"/>
          <w:lang w:val="en-US" w:eastAsia="zh-CN" w:bidi="ar"/>
        </w:rPr>
        <w:t>配合履职事项清单</w:t>
      </w:r>
    </w:p>
    <w:tbl>
      <w:tblPr>
        <w:tblStyle w:val="13"/>
        <w:tblW w:w="14247" w:type="dxa"/>
        <w:jc w:val="center"/>
        <w:tblLayout w:type="autofit"/>
        <w:tblCellMar>
          <w:top w:w="0" w:type="dxa"/>
          <w:left w:w="108" w:type="dxa"/>
          <w:bottom w:w="0" w:type="dxa"/>
          <w:right w:w="108" w:type="dxa"/>
        </w:tblCellMar>
      </w:tblPr>
      <w:tblGrid>
        <w:gridCol w:w="752"/>
        <w:gridCol w:w="1960"/>
        <w:gridCol w:w="1890"/>
        <w:gridCol w:w="4929"/>
        <w:gridCol w:w="4716"/>
      </w:tblGrid>
      <w:tr w14:paraId="101ECB61">
        <w:tblPrEx>
          <w:tblCellMar>
            <w:top w:w="0" w:type="dxa"/>
            <w:left w:w="108" w:type="dxa"/>
            <w:bottom w:w="0" w:type="dxa"/>
            <w:right w:w="108" w:type="dxa"/>
          </w:tblCellMar>
        </w:tblPrEx>
        <w:trPr>
          <w:cantSplit/>
          <w:trHeight w:val="658" w:hRule="atLeast"/>
          <w:tblHeader/>
          <w:jc w:val="center"/>
        </w:trPr>
        <w:tc>
          <w:tcPr>
            <w:tcW w:w="752" w:type="dxa"/>
            <w:tcBorders>
              <w:top w:val="single" w:color="000000" w:sz="4" w:space="0"/>
              <w:left w:val="single" w:color="000000" w:sz="4" w:space="0"/>
              <w:bottom w:val="single" w:color="auto" w:sz="4" w:space="0"/>
              <w:right w:val="single" w:color="000000" w:sz="4" w:space="0"/>
            </w:tcBorders>
            <w:shd w:val="clear" w:color="auto" w:fill="auto"/>
            <w:vAlign w:val="center"/>
          </w:tcPr>
          <w:p w14:paraId="37A30BB9">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序号</w:t>
            </w:r>
          </w:p>
        </w:tc>
        <w:tc>
          <w:tcPr>
            <w:tcW w:w="1960" w:type="dxa"/>
            <w:tcBorders>
              <w:top w:val="single" w:color="000000" w:sz="4" w:space="0"/>
              <w:left w:val="single" w:color="000000" w:sz="4" w:space="0"/>
              <w:bottom w:val="single" w:color="auto" w:sz="4" w:space="0"/>
              <w:right w:val="single" w:color="000000" w:sz="4" w:space="0"/>
            </w:tcBorders>
            <w:shd w:val="clear" w:color="auto" w:fill="auto"/>
            <w:vAlign w:val="center"/>
          </w:tcPr>
          <w:p w14:paraId="4512AE24">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事项名称</w:t>
            </w:r>
          </w:p>
        </w:tc>
        <w:tc>
          <w:tcPr>
            <w:tcW w:w="1890" w:type="dxa"/>
            <w:tcBorders>
              <w:top w:val="single" w:color="000000" w:sz="4" w:space="0"/>
              <w:left w:val="single" w:color="000000" w:sz="4" w:space="0"/>
              <w:bottom w:val="single" w:color="auto" w:sz="4" w:space="0"/>
              <w:right w:val="single" w:color="000000" w:sz="4" w:space="0"/>
            </w:tcBorders>
            <w:shd w:val="clear" w:color="auto" w:fill="auto"/>
            <w:vAlign w:val="center"/>
          </w:tcPr>
          <w:p w14:paraId="3A11CB02">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对应上级部门</w:t>
            </w:r>
          </w:p>
        </w:tc>
        <w:tc>
          <w:tcPr>
            <w:tcW w:w="4929" w:type="dxa"/>
            <w:tcBorders>
              <w:top w:val="single" w:color="000000" w:sz="4" w:space="0"/>
              <w:left w:val="single" w:color="000000" w:sz="4" w:space="0"/>
              <w:bottom w:val="single" w:color="auto" w:sz="4" w:space="0"/>
              <w:right w:val="single" w:color="000000" w:sz="4" w:space="0"/>
            </w:tcBorders>
            <w:shd w:val="clear" w:color="auto" w:fill="auto"/>
            <w:vAlign w:val="center"/>
          </w:tcPr>
          <w:p w14:paraId="328381C9">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lang w:val="en-US" w:eastAsia="zh-CN"/>
              </w:rPr>
            </w:pPr>
            <w:r>
              <w:rPr>
                <w:rFonts w:hint="default" w:ascii="Times New Roman" w:hAnsi="Times New Roman" w:eastAsia="方正黑体_GBK" w:cs="Times New Roman"/>
                <w:color w:val="auto"/>
                <w:sz w:val="24"/>
                <w:szCs w:val="24"/>
                <w:highlight w:val="none"/>
                <w:lang w:val="en-US" w:eastAsia="zh-CN"/>
              </w:rPr>
              <w:t>上级部门职责</w:t>
            </w:r>
          </w:p>
        </w:tc>
        <w:tc>
          <w:tcPr>
            <w:tcW w:w="4716" w:type="dxa"/>
            <w:tcBorders>
              <w:top w:val="single" w:color="000000" w:sz="4" w:space="0"/>
              <w:left w:val="single" w:color="000000" w:sz="4" w:space="0"/>
              <w:bottom w:val="single" w:color="auto" w:sz="4" w:space="0"/>
              <w:right w:val="single" w:color="000000" w:sz="4" w:space="0"/>
            </w:tcBorders>
            <w:shd w:val="clear" w:color="auto" w:fill="auto"/>
            <w:vAlign w:val="center"/>
          </w:tcPr>
          <w:p w14:paraId="0E64E8D7">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lang w:eastAsia="zh-CN" w:bidi="ar"/>
              </w:rPr>
            </w:pPr>
            <w:r>
              <w:rPr>
                <w:rFonts w:hint="default" w:ascii="Times New Roman" w:hAnsi="Times New Roman" w:eastAsia="方正黑体_GBK" w:cs="Times New Roman"/>
                <w:color w:val="auto"/>
                <w:sz w:val="24"/>
                <w:szCs w:val="24"/>
                <w:highlight w:val="none"/>
                <w:lang w:eastAsia="zh-CN" w:bidi="ar"/>
              </w:rPr>
              <w:t>乡镇（街道）配合职责</w:t>
            </w:r>
          </w:p>
        </w:tc>
      </w:tr>
      <w:tr w14:paraId="7D46C845">
        <w:tblPrEx>
          <w:tblCellMar>
            <w:top w:w="0" w:type="dxa"/>
            <w:left w:w="108" w:type="dxa"/>
            <w:bottom w:w="0" w:type="dxa"/>
            <w:right w:w="108" w:type="dxa"/>
          </w:tblCellMar>
        </w:tblPrEx>
        <w:trPr>
          <w:cantSplit/>
          <w:trHeight w:val="667"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498F753">
            <w:pPr>
              <w:keepNext w:val="0"/>
              <w:keepLines w:val="0"/>
              <w:pageBreakBefore w:val="0"/>
              <w:kinsoku/>
              <w:wordWrap/>
              <w:overflowPunct/>
              <w:topLinePunct w:val="0"/>
              <w:bidi w:val="0"/>
              <w:textAlignment w:val="center"/>
              <w:rPr>
                <w:rFonts w:hint="default" w:ascii="Times New Roman" w:hAnsi="Times New Roman" w:eastAsia="方正黑体_GBK" w:cs="Times New Roman"/>
                <w:color w:val="auto"/>
                <w:kern w:val="0"/>
                <w:sz w:val="24"/>
                <w:szCs w:val="24"/>
                <w:highlight w:val="none"/>
              </w:rPr>
            </w:pPr>
            <w:r>
              <w:rPr>
                <w:rFonts w:hint="default" w:ascii="Times New Roman" w:hAnsi="Times New Roman" w:eastAsia="方正黑体_GBK" w:cs="Times New Roman"/>
                <w:color w:val="auto"/>
                <w:kern w:val="0"/>
                <w:sz w:val="24"/>
                <w:szCs w:val="24"/>
                <w:highlight w:val="none"/>
              </w:rPr>
              <w:t>一、党的建设（</w:t>
            </w:r>
            <w:r>
              <w:rPr>
                <w:rFonts w:hint="default" w:ascii="Times New Roman" w:hAnsi="Times New Roman" w:eastAsia="方正黑体_GBK" w:cs="Times New Roman"/>
                <w:color w:val="auto"/>
                <w:kern w:val="0"/>
                <w:sz w:val="24"/>
                <w:szCs w:val="24"/>
                <w:highlight w:val="none"/>
                <w:lang w:val="en-US" w:eastAsia="zh-CN"/>
              </w:rPr>
              <w:t>2</w:t>
            </w:r>
            <w:r>
              <w:rPr>
                <w:rFonts w:hint="default" w:ascii="Times New Roman" w:hAnsi="Times New Roman" w:eastAsia="方正黑体_GBK" w:cs="Times New Roman"/>
                <w:color w:val="auto"/>
                <w:kern w:val="0"/>
                <w:sz w:val="24"/>
                <w:szCs w:val="24"/>
                <w:highlight w:val="none"/>
              </w:rPr>
              <w:t>项）</w:t>
            </w:r>
          </w:p>
        </w:tc>
      </w:tr>
      <w:tr w14:paraId="138BCE29">
        <w:tblPrEx>
          <w:tblCellMar>
            <w:top w:w="0" w:type="dxa"/>
            <w:left w:w="108" w:type="dxa"/>
            <w:bottom w:w="0" w:type="dxa"/>
            <w:right w:w="108" w:type="dxa"/>
          </w:tblCellMar>
        </w:tblPrEx>
        <w:trPr>
          <w:cantSplit/>
          <w:trHeight w:val="219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1C2D83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671609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开展政治素质监测、干部调训参训工作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2E1093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宿城区委组织部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1D5019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1.研究提出领导班子和领导干部队伍建设的规划和干部管理体制的意见。</w:t>
            </w:r>
          </w:p>
          <w:p w14:paraId="0AB4F34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2.考察了解全区干部政治表现，做好“三不型”干部发现识别及认定管理、区委干部选拔任用“一报告两评议”。</w:t>
            </w:r>
          </w:p>
          <w:p w14:paraId="57E543F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3.做好全区干部教育培训工作的政策、规划和年度调（培）训计划制定及落实。</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9D5AA3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1.做好政治素质监测站运营管理，收集干部政治素质表现信息。</w:t>
            </w:r>
          </w:p>
          <w:p w14:paraId="2AB2A07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2.组织本</w:t>
            </w:r>
            <w:r>
              <w:rPr>
                <w:rFonts w:hint="default" w:ascii="Times New Roman" w:hAnsi="Times New Roman" w:eastAsia="方正仿宋_GBK" w:cs="Times New Roman"/>
                <w:color w:val="auto"/>
                <w:szCs w:val="21"/>
                <w:highlight w:val="none"/>
                <w:lang w:val="en-US" w:eastAsia="zh-CN"/>
              </w:rPr>
              <w:t>街道</w:t>
            </w:r>
            <w:r>
              <w:rPr>
                <w:rFonts w:hint="default" w:ascii="Times New Roman" w:hAnsi="Times New Roman" w:eastAsia="方正仿宋_GBK" w:cs="Times New Roman"/>
                <w:color w:val="auto"/>
                <w:szCs w:val="21"/>
                <w:highlight w:val="none"/>
              </w:rPr>
              <w:t>干部撰写报送选拔任用“一报告两评议”材料。</w:t>
            </w:r>
          </w:p>
          <w:p w14:paraId="20D18E0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3.报送年度干部教育培训班次计划，配合做好相关班次的人员调训参训，完成相关线上学习培训。</w:t>
            </w:r>
          </w:p>
        </w:tc>
      </w:tr>
      <w:tr w14:paraId="3F9D2D46">
        <w:tblPrEx>
          <w:tblCellMar>
            <w:top w:w="0" w:type="dxa"/>
            <w:left w:w="108" w:type="dxa"/>
            <w:bottom w:w="0" w:type="dxa"/>
            <w:right w:w="108" w:type="dxa"/>
          </w:tblCellMar>
        </w:tblPrEx>
        <w:trPr>
          <w:cantSplit/>
          <w:trHeight w:val="151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356832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lang w:val="en-US" w:eastAsia="zh-CN"/>
              </w:rPr>
              <w:t>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814454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开展政治巡察，做好巡察整改及成果运用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7EF983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宿城区委巡察工作办公室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ECCF4F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1.承担区委巡察工作领导小组日常工作，落实巡察工作各项部署。</w:t>
            </w:r>
          </w:p>
          <w:p w14:paraId="35B9D2D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2.督办有关决定事项，统筹、协调、指导、保障巡察工作开展。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DBBABC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1.配合开展巡察工作，提交巡察组指定的工作台账资料，接受巡察人员问询。</w:t>
            </w:r>
          </w:p>
          <w:p w14:paraId="054FCB0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2.落实巡察整改任务，报告整改工作完成情况。</w:t>
            </w:r>
          </w:p>
        </w:tc>
      </w:tr>
      <w:tr w14:paraId="31A09569">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6377CB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二</w:t>
            </w:r>
            <w:r>
              <w:rPr>
                <w:rFonts w:hint="default" w:ascii="Times New Roman" w:hAnsi="Times New Roman" w:eastAsia="方正黑体_GBK" w:cs="Times New Roman"/>
                <w:color w:val="auto"/>
                <w:kern w:val="0"/>
                <w:sz w:val="24"/>
                <w:szCs w:val="24"/>
                <w:highlight w:val="none"/>
              </w:rPr>
              <w:t>、乡村振兴（</w:t>
            </w:r>
            <w:r>
              <w:rPr>
                <w:rFonts w:hint="default" w:ascii="Times New Roman" w:hAnsi="Times New Roman" w:eastAsia="方正黑体_GBK" w:cs="Times New Roman"/>
                <w:color w:val="auto"/>
                <w:kern w:val="0"/>
                <w:sz w:val="24"/>
                <w:szCs w:val="24"/>
                <w:highlight w:val="none"/>
                <w:lang w:val="en-US" w:eastAsia="zh-CN"/>
              </w:rPr>
              <w:t>6</w:t>
            </w:r>
            <w:r>
              <w:rPr>
                <w:rFonts w:hint="default" w:ascii="Times New Roman" w:hAnsi="Times New Roman" w:eastAsia="方正黑体_GBK" w:cs="Times New Roman"/>
                <w:color w:val="auto"/>
                <w:kern w:val="0"/>
                <w:sz w:val="24"/>
                <w:szCs w:val="24"/>
                <w:highlight w:val="none"/>
              </w:rPr>
              <w:t>项）</w:t>
            </w:r>
          </w:p>
        </w:tc>
      </w:tr>
      <w:tr w14:paraId="4D37912F">
        <w:tblPrEx>
          <w:tblCellMar>
            <w:top w:w="0" w:type="dxa"/>
            <w:left w:w="108" w:type="dxa"/>
            <w:bottom w:w="0" w:type="dxa"/>
            <w:right w:w="108" w:type="dxa"/>
          </w:tblCellMar>
        </w:tblPrEx>
        <w:trPr>
          <w:cantSplit/>
          <w:trHeight w:val="231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2D9C33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1D600D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农业领域资金和村级公益事业“一事一议”奖补资金的审核发放和使用管理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A6FBE4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pacing w:val="-6"/>
                <w:kern w:val="0"/>
                <w:szCs w:val="21"/>
                <w:highlight w:val="none"/>
              </w:rPr>
            </w:pPr>
            <w:r>
              <w:rPr>
                <w:rFonts w:hint="default" w:ascii="Times New Roman" w:hAnsi="Times New Roman" w:eastAsia="方正仿宋_GBK" w:cs="Times New Roman"/>
                <w:color w:val="auto"/>
                <w:spacing w:val="-6"/>
                <w:kern w:val="0"/>
                <w:szCs w:val="21"/>
                <w:highlight w:val="none"/>
              </w:rPr>
              <w:t>宿城区农业农村局</w:t>
            </w:r>
          </w:p>
          <w:p w14:paraId="6F8E54C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CD81806">
            <w:pPr>
              <w:keepNext w:val="0"/>
              <w:keepLines w:val="0"/>
              <w:pageBreakBefore w:val="0"/>
              <w:widowControl/>
              <w:kinsoku/>
              <w:wordWrap/>
              <w:overflowPunct/>
              <w:topLinePunct w:val="0"/>
              <w:bidi w:val="0"/>
              <w:spacing w:line="28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1.宿城区农业农村局负责农业资金分配使用，建立健全衔接资金使用管理机制，对扶贫小额信贷的监督和管理；拟定区级奖补文件、市级以上项目申报指南；制定项目实施方案，组织项目实施。</w:t>
            </w:r>
          </w:p>
          <w:p w14:paraId="2FD90F76">
            <w:pPr>
              <w:pStyle w:val="8"/>
              <w:keepNext w:val="0"/>
              <w:keepLines w:val="0"/>
              <w:pageBreakBefore w:val="0"/>
              <w:kinsoku/>
              <w:wordWrap/>
              <w:overflowPunct/>
              <w:topLinePunct w:val="0"/>
              <w:bidi w:val="0"/>
              <w:spacing w:line="280" w:lineRule="exact"/>
              <w:jc w:val="left"/>
              <w:rPr>
                <w:rFonts w:hint="default" w:ascii="Times New Roman" w:hAnsi="Times New Roman" w:eastAsia="方正仿宋_GBK" w:cs="Times New Roman"/>
                <w:b w:val="0"/>
                <w:bCs/>
                <w:snapToGrid w:val="0"/>
                <w:color w:val="auto"/>
                <w:kern w:val="0"/>
                <w:sz w:val="21"/>
                <w:szCs w:val="21"/>
                <w:highlight w:val="none"/>
                <w:lang w:val="en-US" w:eastAsia="zh-CN" w:bidi="ar-SA"/>
              </w:rPr>
            </w:pPr>
            <w:r>
              <w:rPr>
                <w:rFonts w:hint="default" w:ascii="Times New Roman" w:hAnsi="Times New Roman" w:eastAsia="方正仿宋_GBK" w:cs="Times New Roman"/>
                <w:b w:val="0"/>
                <w:bCs/>
                <w:color w:val="auto"/>
                <w:kern w:val="0"/>
                <w:sz w:val="21"/>
                <w:szCs w:val="21"/>
                <w:highlight w:val="none"/>
              </w:rPr>
              <w:t>2.宿城区财政局负责资金的审核发放和使用管理。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7306A5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1.开展衔接资金管理使用政策文件宣传，对接主管部门申报项目资金。</w:t>
            </w:r>
          </w:p>
          <w:p w14:paraId="4B007B6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2.指导符合条件的农户办理小额信贷，协助做好小额信贷发放、逾期贷款追缴等工作。</w:t>
            </w:r>
          </w:p>
          <w:p w14:paraId="70D1440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3.组织村（居）做好“一事一议”项目申报、初审、实施，协助开展项目验收工作。</w:t>
            </w:r>
          </w:p>
        </w:tc>
      </w:tr>
      <w:tr w14:paraId="21E14287">
        <w:tblPrEx>
          <w:tblCellMar>
            <w:top w:w="0" w:type="dxa"/>
            <w:left w:w="108" w:type="dxa"/>
            <w:bottom w:w="0" w:type="dxa"/>
            <w:right w:w="108" w:type="dxa"/>
          </w:tblCellMar>
        </w:tblPrEx>
        <w:trPr>
          <w:cantSplit/>
          <w:trHeight w:val="117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8BA968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9017DC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农业设施的物权管理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EF2222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707749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w:t>
            </w:r>
            <w:r>
              <w:rPr>
                <w:rFonts w:hint="default" w:ascii="Times New Roman" w:hAnsi="Times New Roman" w:eastAsia="方正仿宋_GBK" w:cs="Times New Roman"/>
                <w:bCs/>
                <w:color w:val="auto"/>
                <w:kern w:val="0"/>
                <w:szCs w:val="21"/>
                <w:highlight w:val="none"/>
                <w:lang w:val="en-US" w:eastAsia="zh-CN"/>
              </w:rPr>
              <w:t>开展</w:t>
            </w:r>
            <w:r>
              <w:rPr>
                <w:rFonts w:hint="default" w:ascii="Times New Roman" w:hAnsi="Times New Roman" w:eastAsia="方正仿宋_GBK" w:cs="Times New Roman"/>
                <w:bCs/>
                <w:color w:val="auto"/>
                <w:kern w:val="0"/>
                <w:szCs w:val="21"/>
                <w:highlight w:val="none"/>
              </w:rPr>
              <w:t>全区农业设施所有权登记工作。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5396FA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1.协助</w:t>
            </w:r>
            <w:r>
              <w:rPr>
                <w:rFonts w:hint="default" w:ascii="Times New Roman" w:hAnsi="Times New Roman" w:eastAsia="方正仿宋_GBK" w:cs="Times New Roman"/>
                <w:bCs/>
                <w:color w:val="auto"/>
                <w:kern w:val="0"/>
                <w:szCs w:val="21"/>
                <w:highlight w:val="none"/>
                <w:lang w:val="en-US" w:eastAsia="zh-CN"/>
              </w:rPr>
              <w:t>做好</w:t>
            </w:r>
            <w:r>
              <w:rPr>
                <w:rFonts w:hint="default" w:ascii="Times New Roman" w:hAnsi="Times New Roman" w:eastAsia="方正仿宋_GBK" w:cs="Times New Roman"/>
                <w:bCs/>
                <w:color w:val="auto"/>
                <w:kern w:val="0"/>
                <w:szCs w:val="21"/>
                <w:highlight w:val="none"/>
              </w:rPr>
              <w:t>登记材料</w:t>
            </w:r>
            <w:r>
              <w:rPr>
                <w:rFonts w:hint="default" w:ascii="Times New Roman" w:hAnsi="Times New Roman" w:eastAsia="方正仿宋_GBK" w:cs="Times New Roman"/>
                <w:bCs/>
                <w:color w:val="auto"/>
                <w:kern w:val="0"/>
                <w:szCs w:val="21"/>
                <w:highlight w:val="none"/>
                <w:lang w:val="en-US" w:eastAsia="zh-CN"/>
              </w:rPr>
              <w:t>初审、</w:t>
            </w:r>
            <w:r>
              <w:rPr>
                <w:rFonts w:hint="default" w:ascii="Times New Roman" w:hAnsi="Times New Roman" w:eastAsia="方正仿宋_GBK" w:cs="Times New Roman"/>
                <w:bCs/>
                <w:color w:val="auto"/>
                <w:kern w:val="0"/>
                <w:szCs w:val="21"/>
                <w:highlight w:val="none"/>
              </w:rPr>
              <w:t>上报工作。</w:t>
            </w:r>
          </w:p>
          <w:p w14:paraId="10E7D4A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2.配合开展农业设施测量、评估工作，动态掌握农业设施运营情况</w:t>
            </w:r>
            <w:r>
              <w:rPr>
                <w:rFonts w:hint="default" w:ascii="Times New Roman" w:hAnsi="Times New Roman" w:eastAsia="方正仿宋_GBK" w:cs="Times New Roman"/>
                <w:bCs/>
                <w:color w:val="auto"/>
                <w:kern w:val="0"/>
                <w:szCs w:val="21"/>
                <w:highlight w:val="none"/>
                <w:lang w:eastAsia="zh-CN"/>
              </w:rPr>
              <w:t>。</w:t>
            </w:r>
          </w:p>
        </w:tc>
      </w:tr>
      <w:tr w14:paraId="10B1BFAC">
        <w:tblPrEx>
          <w:tblCellMar>
            <w:top w:w="0" w:type="dxa"/>
            <w:left w:w="108" w:type="dxa"/>
            <w:bottom w:w="0" w:type="dxa"/>
            <w:right w:w="108" w:type="dxa"/>
          </w:tblCellMar>
        </w:tblPrEx>
        <w:trPr>
          <w:cantSplit/>
          <w:trHeight w:val="167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2E05D4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855003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推进粮食、蔬菜、园艺作物生产种植业结构调整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4A7126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B9FC65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1.负责制定粮食蔬菜园艺作物生产种植业结构和布局调整政策文件，组织指导镇（街道）落实。</w:t>
            </w:r>
          </w:p>
          <w:p w14:paraId="32F8B6C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2.开展农作物新品种新技术引进、示范、推广工作</w:t>
            </w:r>
            <w:r>
              <w:rPr>
                <w:rFonts w:hint="default" w:ascii="Times New Roman" w:hAnsi="Times New Roman" w:eastAsia="方正仿宋_GBK" w:cs="Times New Roman"/>
                <w:bCs/>
                <w:color w:val="auto"/>
                <w:kern w:val="0"/>
                <w:szCs w:val="21"/>
                <w:highlight w:val="none"/>
                <w:lang w:eastAsia="zh-CN"/>
              </w:rPr>
              <w:t>。</w:t>
            </w:r>
          </w:p>
          <w:p w14:paraId="069F814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lang w:val="en-US" w:eastAsia="zh-CN"/>
              </w:rPr>
              <w:t>实施蔬果设施基地老旧棚体改造提升工作，完善基础设施配套</w:t>
            </w:r>
            <w:r>
              <w:rPr>
                <w:rFonts w:hint="default" w:ascii="Times New Roman" w:hAnsi="Times New Roman" w:eastAsia="方正仿宋_GBK" w:cs="Times New Roman"/>
                <w:bCs/>
                <w:color w:val="auto"/>
                <w:kern w:val="0"/>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2E3CB1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1.宣传粮食、蔬菜、园艺作物生产种植相关政策。</w:t>
            </w:r>
          </w:p>
          <w:p w14:paraId="32C5156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2.协调相关部门和机构，为种植户提供农资供应、农机服务、市场信息等服务保障。</w:t>
            </w:r>
          </w:p>
          <w:p w14:paraId="69CAAB9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3.收集、反馈本</w:t>
            </w:r>
            <w:r>
              <w:rPr>
                <w:rFonts w:hint="default" w:ascii="Times New Roman" w:hAnsi="Times New Roman" w:eastAsia="方正仿宋_GBK" w:cs="Times New Roman"/>
                <w:bCs/>
                <w:color w:val="auto"/>
                <w:kern w:val="0"/>
                <w:szCs w:val="21"/>
                <w:highlight w:val="none"/>
                <w:lang w:val="en-US" w:eastAsia="zh-CN"/>
              </w:rPr>
              <w:t>街道</w:t>
            </w:r>
            <w:r>
              <w:rPr>
                <w:rFonts w:hint="default" w:ascii="Times New Roman" w:hAnsi="Times New Roman" w:eastAsia="方正仿宋_GBK" w:cs="Times New Roman"/>
                <w:bCs/>
                <w:color w:val="auto"/>
                <w:kern w:val="0"/>
                <w:szCs w:val="21"/>
                <w:highlight w:val="none"/>
              </w:rPr>
              <w:t>种植生产情况、问题及需求等信息。</w:t>
            </w:r>
          </w:p>
        </w:tc>
      </w:tr>
      <w:tr w14:paraId="21C6811A">
        <w:tblPrEx>
          <w:tblCellMar>
            <w:top w:w="0" w:type="dxa"/>
            <w:left w:w="108" w:type="dxa"/>
            <w:bottom w:w="0" w:type="dxa"/>
            <w:right w:w="108" w:type="dxa"/>
          </w:tblCellMar>
        </w:tblPrEx>
        <w:trPr>
          <w:cantSplit/>
          <w:trHeight w:val="158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366C3A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4A4D3D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第二轮土地承包到期后再延长30年试点</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A4B97E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28F43E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lang w:val="en-US" w:eastAsia="zh-CN"/>
              </w:rPr>
              <w:t>1.</w:t>
            </w:r>
            <w:r>
              <w:rPr>
                <w:rFonts w:hint="default" w:ascii="Times New Roman" w:hAnsi="Times New Roman" w:eastAsia="方正仿宋_GBK" w:cs="Times New Roman"/>
                <w:bCs/>
                <w:color w:val="auto"/>
                <w:kern w:val="0"/>
                <w:szCs w:val="21"/>
                <w:highlight w:val="none"/>
              </w:rPr>
              <w:t>制定</w:t>
            </w:r>
            <w:r>
              <w:rPr>
                <w:rFonts w:hint="default" w:ascii="Times New Roman" w:hAnsi="Times New Roman" w:eastAsia="方正仿宋_GBK" w:cs="Times New Roman"/>
                <w:bCs/>
                <w:color w:val="auto"/>
                <w:kern w:val="0"/>
                <w:szCs w:val="21"/>
                <w:highlight w:val="none"/>
                <w:lang w:val="en-US" w:eastAsia="zh-CN"/>
              </w:rPr>
              <w:t>宿城区</w:t>
            </w:r>
            <w:r>
              <w:rPr>
                <w:rFonts w:hint="default" w:ascii="Times New Roman" w:hAnsi="Times New Roman" w:eastAsia="方正仿宋_GBK" w:cs="Times New Roman"/>
                <w:bCs/>
                <w:color w:val="auto"/>
                <w:kern w:val="0"/>
                <w:szCs w:val="21"/>
                <w:highlight w:val="none"/>
              </w:rPr>
              <w:t>第二轮土地承包到期后再延长三十年试点工作实施方案及相关政策</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分解相关</w:t>
            </w:r>
            <w:r>
              <w:rPr>
                <w:rFonts w:hint="default" w:ascii="Times New Roman" w:hAnsi="Times New Roman" w:eastAsia="方正仿宋_GBK" w:cs="Times New Roman"/>
                <w:bCs/>
                <w:color w:val="auto"/>
                <w:kern w:val="0"/>
                <w:szCs w:val="21"/>
                <w:highlight w:val="none"/>
              </w:rPr>
              <w:t>工作任务</w:t>
            </w:r>
            <w:r>
              <w:rPr>
                <w:rFonts w:hint="default" w:ascii="Times New Roman" w:hAnsi="Times New Roman" w:eastAsia="方正仿宋_GBK" w:cs="Times New Roman"/>
                <w:bCs/>
                <w:color w:val="auto"/>
                <w:kern w:val="0"/>
                <w:szCs w:val="21"/>
                <w:highlight w:val="none"/>
                <w:lang w:eastAsia="zh-CN"/>
              </w:rPr>
              <w:t>。</w:t>
            </w:r>
          </w:p>
          <w:p w14:paraId="24A574E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w:t>
            </w:r>
            <w:r>
              <w:rPr>
                <w:rFonts w:hint="default" w:ascii="Times New Roman" w:hAnsi="Times New Roman" w:eastAsia="方正仿宋_GBK" w:cs="Times New Roman"/>
                <w:bCs/>
                <w:color w:val="auto"/>
                <w:kern w:val="0"/>
                <w:szCs w:val="21"/>
                <w:highlight w:val="none"/>
              </w:rPr>
              <w:t>加强综合协调，</w:t>
            </w:r>
            <w:r>
              <w:rPr>
                <w:rFonts w:hint="default" w:ascii="Times New Roman" w:hAnsi="Times New Roman" w:eastAsia="方正仿宋_GBK" w:cs="Times New Roman"/>
                <w:bCs/>
                <w:color w:val="auto"/>
                <w:kern w:val="0"/>
                <w:szCs w:val="21"/>
                <w:highlight w:val="none"/>
                <w:lang w:val="en-US" w:eastAsia="zh-CN"/>
              </w:rPr>
              <w:t>开展</w:t>
            </w:r>
            <w:r>
              <w:rPr>
                <w:rFonts w:hint="default" w:ascii="Times New Roman" w:hAnsi="Times New Roman" w:eastAsia="方正仿宋_GBK" w:cs="Times New Roman"/>
                <w:bCs/>
                <w:color w:val="auto"/>
                <w:kern w:val="0"/>
                <w:szCs w:val="21"/>
                <w:highlight w:val="none"/>
              </w:rPr>
              <w:t>试点工作的摸底调研、组织实施、指导督查、统计、总结等工作，协调工作中遇到的重大问题。</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3E4CC0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按照试点要求</w:t>
            </w:r>
            <w:r>
              <w:rPr>
                <w:rFonts w:hint="default" w:ascii="Times New Roman" w:hAnsi="Times New Roman" w:eastAsia="方正仿宋_GBK" w:cs="Times New Roman"/>
                <w:bCs/>
                <w:color w:val="auto"/>
                <w:kern w:val="0"/>
                <w:szCs w:val="21"/>
                <w:highlight w:val="none"/>
              </w:rPr>
              <w:t>，组织试点村</w:t>
            </w:r>
            <w:r>
              <w:rPr>
                <w:rFonts w:hint="default" w:ascii="Times New Roman" w:hAnsi="Times New Roman" w:eastAsia="方正仿宋_GBK" w:cs="Times New Roman"/>
                <w:bCs/>
                <w:color w:val="auto"/>
                <w:kern w:val="0"/>
                <w:szCs w:val="21"/>
                <w:highlight w:val="none"/>
                <w:lang w:val="en-US" w:eastAsia="zh-CN"/>
              </w:rPr>
              <w:t>实施</w:t>
            </w:r>
            <w:r>
              <w:rPr>
                <w:rFonts w:hint="default" w:ascii="Times New Roman" w:hAnsi="Times New Roman" w:eastAsia="方正仿宋_GBK" w:cs="Times New Roman"/>
                <w:bCs/>
                <w:color w:val="auto"/>
                <w:kern w:val="0"/>
                <w:szCs w:val="21"/>
                <w:highlight w:val="none"/>
              </w:rPr>
              <w:t>延包试点工作。</w:t>
            </w:r>
          </w:p>
        </w:tc>
      </w:tr>
      <w:tr w14:paraId="3BFA2966">
        <w:tblPrEx>
          <w:tblCellMar>
            <w:top w:w="0" w:type="dxa"/>
            <w:left w:w="108" w:type="dxa"/>
            <w:bottom w:w="0" w:type="dxa"/>
            <w:right w:w="108" w:type="dxa"/>
          </w:tblCellMar>
        </w:tblPrEx>
        <w:trPr>
          <w:cantSplit/>
          <w:trHeight w:val="103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3E4285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8F11EF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农作物病虫害防治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5D5668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065D67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开展农作物病虫害监测调查、信息报送、分析预测和预报发布等监督管理和防治工作。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20F872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开展辖区内农作物病虫害防治宣传、动员，协助组织实施。</w:t>
            </w:r>
          </w:p>
        </w:tc>
      </w:tr>
      <w:tr w14:paraId="117B50F8">
        <w:tblPrEx>
          <w:tblCellMar>
            <w:top w:w="0" w:type="dxa"/>
            <w:left w:w="108" w:type="dxa"/>
            <w:bottom w:w="0" w:type="dxa"/>
            <w:right w:w="108" w:type="dxa"/>
          </w:tblCellMar>
        </w:tblPrEx>
        <w:trPr>
          <w:cantSplit/>
          <w:trHeight w:val="262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2E7EF0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8D80CA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落实乡村产业发展政策举措，培育龙头企业和联合体</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051395D">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B83F991">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1.牵头开展龙头企业、联合体申报，指导主体填报相关平台。</w:t>
            </w:r>
          </w:p>
          <w:p w14:paraId="42F00502">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2.制定乡村产业、农产品加工、休闲农业和农业产业化发展政策措施并组织实施。</w:t>
            </w:r>
          </w:p>
          <w:p w14:paraId="21C86DAC">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3.推动农村三产融合发展，构建乡村产业生产和经营体系。</w:t>
            </w:r>
          </w:p>
          <w:p w14:paraId="0ACCAC62">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4.指导创建全国农村创业创新园区（基地）目录，组织各主体参加“双创大赛”。</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0DC0F6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1.做好国家、省、市、区级龙头企业和联合体申报材料受理、转报。</w:t>
            </w:r>
          </w:p>
          <w:p w14:paraId="2E65503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2.做好苏农贷等名录更新工作。</w:t>
            </w:r>
          </w:p>
        </w:tc>
      </w:tr>
      <w:tr w14:paraId="4867BE27">
        <w:tblPrEx>
          <w:tblCellMar>
            <w:top w:w="0" w:type="dxa"/>
            <w:left w:w="108" w:type="dxa"/>
            <w:bottom w:w="0" w:type="dxa"/>
            <w:right w:w="108" w:type="dxa"/>
          </w:tblCellMar>
        </w:tblPrEx>
        <w:trPr>
          <w:cantSplit/>
          <w:trHeight w:val="650"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B2FE49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三、社会管理（10项）</w:t>
            </w:r>
          </w:p>
        </w:tc>
      </w:tr>
      <w:tr w14:paraId="1578F926">
        <w:tblPrEx>
          <w:tblCellMar>
            <w:top w:w="0" w:type="dxa"/>
            <w:left w:w="108" w:type="dxa"/>
            <w:bottom w:w="0" w:type="dxa"/>
            <w:right w:w="108" w:type="dxa"/>
          </w:tblCellMar>
        </w:tblPrEx>
        <w:trPr>
          <w:cantSplit/>
          <w:trHeight w:val="245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E1B696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6BF74B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开展电信诈骗、扫黑除恶等重点领域违法行为专项治理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DCFB7E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宿城区委政法</w:t>
            </w:r>
          </w:p>
          <w:p w14:paraId="6265034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委员会</w:t>
            </w:r>
          </w:p>
          <w:p w14:paraId="214E7E3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宿迁市公安局</w:t>
            </w:r>
          </w:p>
          <w:p w14:paraId="619DD89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DB1B1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1.宿城区委政法委负责建立健全社会治安防控体系，统筹推进平安</w:t>
            </w:r>
            <w:r>
              <w:rPr>
                <w:rFonts w:hint="default" w:ascii="Times New Roman" w:hAnsi="Times New Roman" w:eastAsia="方正仿宋_GBK" w:cs="Times New Roman"/>
                <w:color w:val="auto"/>
                <w:szCs w:val="21"/>
                <w:highlight w:val="none"/>
                <w:lang w:val="en-US" w:eastAsia="zh-CN"/>
              </w:rPr>
              <w:t>建设</w:t>
            </w:r>
            <w:r>
              <w:rPr>
                <w:rFonts w:hint="default" w:ascii="Times New Roman" w:hAnsi="Times New Roman" w:eastAsia="方正仿宋_GBK" w:cs="Times New Roman"/>
                <w:color w:val="auto"/>
                <w:szCs w:val="21"/>
                <w:highlight w:val="none"/>
              </w:rPr>
              <w:t>和治安防范活动，做好扫黑除恶工作的统筹规划、协调联络、上传下达、台账建立、交接交办工作。</w:t>
            </w:r>
          </w:p>
          <w:p w14:paraId="3EE592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w:t>
            </w:r>
            <w:r>
              <w:rPr>
                <w:rFonts w:hint="default" w:ascii="Times New Roman" w:hAnsi="Times New Roman" w:eastAsia="方正仿宋_GBK" w:cs="Times New Roman"/>
                <w:color w:val="auto"/>
                <w:kern w:val="0"/>
                <w:szCs w:val="21"/>
                <w:highlight w:val="none"/>
              </w:rPr>
              <w:t>宿迁市公安局宿城分局</w:t>
            </w:r>
            <w:r>
              <w:rPr>
                <w:rFonts w:hint="default" w:ascii="Times New Roman" w:hAnsi="Times New Roman" w:eastAsia="方正仿宋_GBK" w:cs="Times New Roman"/>
                <w:color w:val="auto"/>
                <w:szCs w:val="21"/>
                <w:highlight w:val="none"/>
              </w:rPr>
              <w:t>落实推进平安建设、平安联创等工作，推进智慧前端建设和织网补盲，开展警务与保安行业联勤联动。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FDEDF5A">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1.协助建立社会治安防控网。</w:t>
            </w:r>
          </w:p>
          <w:p w14:paraId="719549C3">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2.受理和转报群众举报的涉黑涉恶案件线索，协助办理上级交办的易处置的涉黑涉恶案件。</w:t>
            </w:r>
          </w:p>
          <w:p w14:paraId="6D86EA07">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3.开展养老诈骗、电信网络诈骗案件线索受理、转报，协助办理易处置案件。</w:t>
            </w:r>
          </w:p>
          <w:p w14:paraId="769121F7">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4.加强日常巡查，发现问题线索及时上报。</w:t>
            </w:r>
          </w:p>
        </w:tc>
      </w:tr>
      <w:tr w14:paraId="77344299">
        <w:tblPrEx>
          <w:tblCellMar>
            <w:top w:w="0" w:type="dxa"/>
            <w:left w:w="108" w:type="dxa"/>
            <w:bottom w:w="0" w:type="dxa"/>
            <w:right w:w="108" w:type="dxa"/>
          </w:tblCellMar>
        </w:tblPrEx>
        <w:trPr>
          <w:cantSplit/>
          <w:trHeight w:val="194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E173FF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37902D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妇女创业就业支持和困难妇女救助关爱工作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7CC449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宿城区妇联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22EBE4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1.负责低收入妇女“两癌”救助、市级妇女创业就业引导资金等申报。</w:t>
            </w:r>
          </w:p>
          <w:p w14:paraId="6E28735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2.开展“三八国际妇女节”主题活动、“乡村振兴巾帼行动”专项就业创业培训。</w:t>
            </w:r>
          </w:p>
          <w:p w14:paraId="5AE4E43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3.做好困难妇女儿童家庭问题排查和“一户一策”精准微关爱工作。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8F15C7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1.指导申请人填写“两癌”患病妇女或困境妇女儿童救助申报表和提供相关证明材料，并对相关材料进行初审、上报；配合走访慰问。</w:t>
            </w:r>
          </w:p>
          <w:p w14:paraId="7A15929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2.对辖区妇女创业就业引导资金的申报材料进行初审并上报，配合市、区妇联对资金使用情况进行走访调查。</w:t>
            </w:r>
          </w:p>
          <w:p w14:paraId="0F1F81D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3.指导申报单位完善申报材料。</w:t>
            </w:r>
          </w:p>
        </w:tc>
      </w:tr>
      <w:tr w14:paraId="2631BC05">
        <w:tblPrEx>
          <w:tblCellMar>
            <w:top w:w="0" w:type="dxa"/>
            <w:left w:w="108" w:type="dxa"/>
            <w:bottom w:w="0" w:type="dxa"/>
            <w:right w:w="108" w:type="dxa"/>
          </w:tblCellMar>
        </w:tblPrEx>
        <w:trPr>
          <w:cantSplit/>
          <w:trHeight w:val="187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EA4A31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8C92C7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开展国防动员潜力统计调查，执行区战备执勤任务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7BF7D2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宿城区人民武装部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736C873">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1.负责开展国防动员潜力统计，调查掌握辖区内军事设施保护情况，落实军民通用装备器材预征预储。</w:t>
            </w:r>
          </w:p>
          <w:p w14:paraId="32963528">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2.掌握辖区内重大民社情，指导各镇（街道）做好年度战备工作。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8A604DB">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1.配合开展辖区内国防动员潜力统计调查，报送辖区内军事设施管理使用情况。</w:t>
            </w:r>
          </w:p>
          <w:p w14:paraId="15C81F01">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2.根据上级要求，协助征集辖区内军民通用装备器材，结合实际做好储备保存工作。</w:t>
            </w:r>
          </w:p>
          <w:p w14:paraId="6C0F604B">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3.排查上报辖区内民社情，组织民兵担负区战备值班分队工作任务。</w:t>
            </w:r>
          </w:p>
        </w:tc>
      </w:tr>
      <w:tr w14:paraId="046E0682">
        <w:tblPrEx>
          <w:tblCellMar>
            <w:top w:w="0" w:type="dxa"/>
            <w:left w:w="108" w:type="dxa"/>
            <w:bottom w:w="0" w:type="dxa"/>
            <w:right w:w="108" w:type="dxa"/>
          </w:tblCellMar>
        </w:tblPrEx>
        <w:trPr>
          <w:cantSplit/>
          <w:trHeight w:val="126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2E8777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49CCB8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司法所规范化建设工作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4AD615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宿城区司法局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8BC79E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加强对司法所装备、设施、场所保障工作指导，按要求选聘</w:t>
            </w:r>
            <w:r>
              <w:rPr>
                <w:rFonts w:hint="default" w:ascii="Times New Roman" w:hAnsi="Times New Roman" w:eastAsia="方正仿宋_GBK" w:cs="Times New Roman"/>
                <w:strike w:val="0"/>
                <w:dstrike w:val="0"/>
                <w:color w:val="auto"/>
                <w:szCs w:val="21"/>
                <w:highlight w:val="none"/>
                <w:lang w:val="en-US" w:eastAsia="zh-CN"/>
              </w:rPr>
              <w:t>司法协理员</w:t>
            </w:r>
            <w:r>
              <w:rPr>
                <w:rFonts w:hint="default" w:ascii="Times New Roman" w:hAnsi="Times New Roman" w:eastAsia="方正仿宋_GBK" w:cs="Times New Roman"/>
                <w:color w:val="auto"/>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C8C51E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1.落实宿城区司法局选聘人员专岗专用要求</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strike w:val="0"/>
                <w:dstrike w:val="0"/>
                <w:color w:val="auto"/>
                <w:szCs w:val="21"/>
                <w:highlight w:val="none"/>
                <w:lang w:val="en-US" w:eastAsia="zh-CN"/>
              </w:rPr>
              <w:t>司法协理员到岗履职</w:t>
            </w:r>
            <w:r>
              <w:rPr>
                <w:rFonts w:hint="default" w:ascii="Times New Roman" w:hAnsi="Times New Roman" w:eastAsia="方正仿宋_GBK" w:cs="Times New Roman"/>
                <w:color w:val="auto"/>
                <w:szCs w:val="21"/>
                <w:highlight w:val="none"/>
              </w:rPr>
              <w:t>。</w:t>
            </w:r>
          </w:p>
          <w:p w14:paraId="50534BA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2.提供符合规定的业务用房，支持和保障“一镇一所一品牌”打造。</w:t>
            </w:r>
          </w:p>
        </w:tc>
      </w:tr>
      <w:tr w14:paraId="507C0C4F">
        <w:tblPrEx>
          <w:tblCellMar>
            <w:top w:w="0" w:type="dxa"/>
            <w:left w:w="108" w:type="dxa"/>
            <w:bottom w:w="0" w:type="dxa"/>
            <w:right w:w="108" w:type="dxa"/>
          </w:tblCellMar>
        </w:tblPrEx>
        <w:trPr>
          <w:cantSplit/>
          <w:trHeight w:val="199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CD802B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4BC881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行政区划管理和历史地名保护</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FDE82D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宿城区民政局</w:t>
            </w:r>
          </w:p>
          <w:p w14:paraId="39646A9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7FC6582">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1.宿城区民政局负责拟订全区地名管理</w:t>
            </w:r>
            <w:r>
              <w:rPr>
                <w:rFonts w:hint="default" w:ascii="Times New Roman" w:hAnsi="Times New Roman" w:eastAsia="方正仿宋_GBK" w:cs="Times New Roman"/>
                <w:color w:val="auto"/>
                <w:szCs w:val="21"/>
                <w:highlight w:val="none"/>
                <w:lang w:val="en-US" w:eastAsia="zh-CN"/>
              </w:rPr>
              <w:t>规范性文件</w:t>
            </w:r>
            <w:r>
              <w:rPr>
                <w:rFonts w:hint="default" w:ascii="Times New Roman" w:hAnsi="Times New Roman" w:eastAsia="方正仿宋_GBK" w:cs="Times New Roman"/>
                <w:color w:val="auto"/>
                <w:szCs w:val="21"/>
                <w:highlight w:val="none"/>
              </w:rPr>
              <w:t>和相关标准，做好地名管理工作。</w:t>
            </w:r>
          </w:p>
          <w:p w14:paraId="282243F2">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
                <w:bCs/>
                <w:color w:val="auto"/>
                <w:szCs w:val="21"/>
                <w:highlight w:val="none"/>
                <w:lang w:val="en-US" w:eastAsia="zh-CN"/>
              </w:rPr>
            </w:pPr>
            <w:r>
              <w:rPr>
                <w:rFonts w:hint="default" w:ascii="Times New Roman" w:hAnsi="Times New Roman" w:eastAsia="方正仿宋_GBK" w:cs="Times New Roman"/>
                <w:b w:val="0"/>
                <w:bCs w:val="0"/>
                <w:color w:val="auto"/>
                <w:szCs w:val="21"/>
                <w:highlight w:val="none"/>
              </w:rPr>
              <w:t>2.</w:t>
            </w:r>
            <w:r>
              <w:rPr>
                <w:rFonts w:hint="default" w:ascii="Times New Roman" w:hAnsi="Times New Roman" w:eastAsia="方正仿宋_GBK" w:cs="Times New Roman"/>
                <w:color w:val="auto"/>
                <w:szCs w:val="21"/>
                <w:highlight w:val="none"/>
                <w:lang w:val="en-US" w:eastAsia="zh-CN"/>
              </w:rPr>
              <w:t>宿城区民政局办理区政府申报行政区划设立、调整、更名和政府驻地迁移事项。</w:t>
            </w:r>
            <w:r>
              <w:rPr>
                <w:rFonts w:hint="default" w:ascii="Times New Roman" w:hAnsi="Times New Roman" w:eastAsia="方正仿宋_GBK" w:cs="Times New Roman"/>
                <w:b/>
                <w:bCs/>
                <w:color w:val="auto"/>
                <w:szCs w:val="21"/>
                <w:highlight w:val="none"/>
                <w:lang w:val="en-US" w:eastAsia="zh-CN"/>
              </w:rPr>
              <w:t xml:space="preserve">   </w:t>
            </w:r>
          </w:p>
          <w:p w14:paraId="6E676F78">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3.宿城区民政局开展行政区域界线的勘定和管理工作。</w:t>
            </w:r>
          </w:p>
          <w:p w14:paraId="3D207E9E">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4.宿城区民政局会同宿城区城市管理局开展地名公共服务。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A4E983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1.配合处理行政区域边界争议。</w:t>
            </w:r>
          </w:p>
          <w:p w14:paraId="2DC5D5B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rPr>
              <w:t>2.根据行政区划变更，上报村级地名命名更名方案</w:t>
            </w:r>
            <w:r>
              <w:rPr>
                <w:rFonts w:hint="default" w:ascii="Times New Roman" w:hAnsi="Times New Roman" w:eastAsia="方正仿宋_GBK" w:cs="Times New Roman"/>
                <w:color w:val="auto"/>
                <w:szCs w:val="21"/>
                <w:highlight w:val="none"/>
                <w:lang w:eastAsia="zh-CN"/>
              </w:rPr>
              <w:t>。</w:t>
            </w:r>
          </w:p>
          <w:p w14:paraId="5CE2871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lang w:val="en-US" w:eastAsia="zh-CN"/>
              </w:rPr>
              <w:t>3.宣传、推广标准地名的使用，协助做好标准地名标志的设置与管理。</w:t>
            </w:r>
          </w:p>
        </w:tc>
      </w:tr>
      <w:tr w14:paraId="64DA3830">
        <w:tblPrEx>
          <w:tblCellMar>
            <w:top w:w="0" w:type="dxa"/>
            <w:left w:w="108" w:type="dxa"/>
            <w:bottom w:w="0" w:type="dxa"/>
            <w:right w:w="108" w:type="dxa"/>
          </w:tblCellMar>
        </w:tblPrEx>
        <w:trPr>
          <w:cantSplit/>
          <w:trHeight w:val="106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C6DF73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8170A0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规范政务服务场所办事流程</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975A4A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宿城区数据局</w:t>
            </w:r>
          </w:p>
          <w:p w14:paraId="21E6B28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eastAsia="zh-CN" w:bidi="ar"/>
              </w:rPr>
              <w:t>（政务办）</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E48734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规范镇（街道）便民服务中心场所设立、政务服务窗口设置、窗口业务办理等。</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71BBC7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1.按照便民服务场所标准化要求，建设便民服务中心。</w:t>
            </w:r>
          </w:p>
          <w:p w14:paraId="6271794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2.开展对村（居）便民服务站建设的指导管理。</w:t>
            </w:r>
          </w:p>
        </w:tc>
      </w:tr>
      <w:tr w14:paraId="051A713E">
        <w:tblPrEx>
          <w:tblCellMar>
            <w:top w:w="0" w:type="dxa"/>
            <w:left w:w="108" w:type="dxa"/>
            <w:bottom w:w="0" w:type="dxa"/>
            <w:right w:w="108" w:type="dxa"/>
          </w:tblCellMar>
        </w:tblPrEx>
        <w:trPr>
          <w:cantSplit/>
          <w:trHeight w:val="125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293545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FD0CAF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群租房、自建房等小型建筑</w:t>
            </w:r>
            <w:r>
              <w:rPr>
                <w:rFonts w:hint="default" w:ascii="Times New Roman" w:hAnsi="Times New Roman" w:eastAsia="方正仿宋_GBK" w:cs="Times New Roman"/>
                <w:color w:val="auto"/>
                <w:kern w:val="0"/>
                <w:szCs w:val="21"/>
                <w:highlight w:val="none"/>
                <w:lang w:val="en-US" w:eastAsia="zh-CN"/>
              </w:rPr>
              <w:t>质量</w:t>
            </w:r>
            <w:r>
              <w:rPr>
                <w:rFonts w:hint="default" w:ascii="Times New Roman" w:hAnsi="Times New Roman" w:eastAsia="方正仿宋_GBK" w:cs="Times New Roman"/>
                <w:color w:val="auto"/>
                <w:kern w:val="0"/>
                <w:szCs w:val="21"/>
                <w:highlight w:val="none"/>
              </w:rPr>
              <w:t>安全监管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9C883C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F0516AE">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2"/>
                <w:sz w:val="21"/>
                <w:szCs w:val="21"/>
                <w:highlight w:val="none"/>
              </w:rPr>
              <w:t>负责对群租房、自建房等小型建筑</w:t>
            </w:r>
            <w:r>
              <w:rPr>
                <w:rFonts w:hint="default" w:ascii="Times New Roman" w:hAnsi="Times New Roman" w:eastAsia="方正仿宋_GBK" w:cs="Times New Roman"/>
                <w:color w:val="auto"/>
                <w:kern w:val="2"/>
                <w:sz w:val="21"/>
                <w:szCs w:val="21"/>
                <w:highlight w:val="none"/>
                <w:lang w:val="en-US" w:eastAsia="zh-CN"/>
              </w:rPr>
              <w:t>质量</w:t>
            </w:r>
            <w:r>
              <w:rPr>
                <w:rFonts w:hint="default" w:ascii="Times New Roman" w:hAnsi="Times New Roman" w:eastAsia="方正仿宋_GBK" w:cs="Times New Roman"/>
                <w:color w:val="auto"/>
                <w:kern w:val="2"/>
                <w:sz w:val="21"/>
                <w:szCs w:val="21"/>
                <w:highlight w:val="none"/>
              </w:rPr>
              <w:t>安全的</w:t>
            </w:r>
            <w:r>
              <w:rPr>
                <w:rFonts w:hint="default" w:ascii="Times New Roman" w:hAnsi="Times New Roman" w:eastAsia="方正仿宋_GBK" w:cs="Times New Roman"/>
                <w:color w:val="auto"/>
                <w:kern w:val="2"/>
                <w:sz w:val="21"/>
                <w:szCs w:val="21"/>
                <w:highlight w:val="none"/>
                <w:lang w:val="en-US" w:eastAsia="zh-CN"/>
              </w:rPr>
              <w:t>指导、</w:t>
            </w:r>
            <w:r>
              <w:rPr>
                <w:rFonts w:hint="default" w:ascii="Times New Roman" w:hAnsi="Times New Roman" w:eastAsia="方正仿宋_GBK" w:cs="Times New Roman"/>
                <w:color w:val="auto"/>
                <w:kern w:val="2"/>
                <w:sz w:val="21"/>
                <w:szCs w:val="21"/>
                <w:highlight w:val="none"/>
              </w:rPr>
              <w:t>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3EE9B7D">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kern w:val="2"/>
                <w:sz w:val="21"/>
                <w:szCs w:val="21"/>
                <w:highlight w:val="none"/>
              </w:rPr>
            </w:pPr>
            <w:r>
              <w:rPr>
                <w:rFonts w:hint="default" w:ascii="Times New Roman" w:hAnsi="Times New Roman" w:eastAsia="方正仿宋_GBK" w:cs="Times New Roman"/>
                <w:color w:val="auto"/>
                <w:kern w:val="2"/>
                <w:sz w:val="21"/>
                <w:szCs w:val="21"/>
                <w:highlight w:val="none"/>
              </w:rPr>
              <w:t>1.对辖区内农房和自建房建设以及不需要办理施工许可的工程项目建设进行日常巡查</w:t>
            </w:r>
            <w:r>
              <w:rPr>
                <w:rFonts w:hint="default" w:ascii="Times New Roman" w:hAnsi="Times New Roman" w:eastAsia="方正仿宋_GBK" w:cs="Times New Roman"/>
                <w:color w:val="auto"/>
                <w:kern w:val="2"/>
                <w:sz w:val="21"/>
                <w:szCs w:val="21"/>
                <w:highlight w:val="none"/>
                <w:lang w:eastAsia="zh-CN"/>
              </w:rPr>
              <w:t>、</w:t>
            </w:r>
            <w:r>
              <w:rPr>
                <w:rFonts w:hint="default" w:ascii="Times New Roman" w:hAnsi="Times New Roman" w:eastAsia="方正仿宋_GBK" w:cs="Times New Roman"/>
                <w:color w:val="auto"/>
                <w:kern w:val="2"/>
                <w:sz w:val="21"/>
                <w:szCs w:val="21"/>
                <w:highlight w:val="none"/>
                <w:lang w:val="en-US" w:eastAsia="zh-CN"/>
              </w:rPr>
              <w:t>管理</w:t>
            </w:r>
            <w:r>
              <w:rPr>
                <w:rFonts w:hint="default" w:ascii="Times New Roman" w:hAnsi="Times New Roman" w:eastAsia="方正仿宋_GBK" w:cs="Times New Roman"/>
                <w:color w:val="auto"/>
                <w:kern w:val="2"/>
                <w:sz w:val="21"/>
                <w:szCs w:val="21"/>
                <w:highlight w:val="none"/>
              </w:rPr>
              <w:t>。</w:t>
            </w:r>
          </w:p>
          <w:p w14:paraId="6ABBF1E8">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kern w:val="2"/>
                <w:sz w:val="21"/>
                <w:szCs w:val="21"/>
                <w:highlight w:val="none"/>
              </w:rPr>
            </w:pPr>
            <w:r>
              <w:rPr>
                <w:rFonts w:hint="default" w:ascii="Times New Roman" w:hAnsi="Times New Roman" w:eastAsia="方正仿宋_GBK" w:cs="Times New Roman"/>
                <w:color w:val="auto"/>
                <w:kern w:val="2"/>
                <w:sz w:val="21"/>
                <w:szCs w:val="21"/>
                <w:highlight w:val="none"/>
              </w:rPr>
              <w:t>2.做好群租房、自建房等小型建筑日常排查</w:t>
            </w:r>
            <w:r>
              <w:rPr>
                <w:rFonts w:hint="default" w:ascii="Times New Roman" w:hAnsi="Times New Roman" w:eastAsia="方正仿宋_GBK" w:cs="Times New Roman"/>
                <w:color w:val="auto"/>
                <w:kern w:val="2"/>
                <w:sz w:val="21"/>
                <w:szCs w:val="21"/>
                <w:highlight w:val="none"/>
                <w:lang w:eastAsia="zh-CN"/>
              </w:rPr>
              <w:t>、</w:t>
            </w:r>
            <w:r>
              <w:rPr>
                <w:rFonts w:hint="default" w:ascii="Times New Roman" w:hAnsi="Times New Roman" w:eastAsia="方正仿宋_GBK" w:cs="Times New Roman"/>
                <w:color w:val="auto"/>
                <w:kern w:val="2"/>
                <w:sz w:val="21"/>
                <w:szCs w:val="21"/>
                <w:highlight w:val="none"/>
                <w:lang w:val="en-US" w:eastAsia="zh-CN"/>
              </w:rPr>
              <w:t>管理</w:t>
            </w:r>
            <w:r>
              <w:rPr>
                <w:rFonts w:hint="default" w:ascii="Times New Roman" w:hAnsi="Times New Roman" w:eastAsia="方正仿宋_GBK" w:cs="Times New Roman"/>
                <w:color w:val="auto"/>
                <w:kern w:val="2"/>
                <w:sz w:val="21"/>
                <w:szCs w:val="21"/>
                <w:highlight w:val="none"/>
              </w:rPr>
              <w:t>。</w:t>
            </w:r>
          </w:p>
          <w:p w14:paraId="6F4BE90B">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2"/>
                <w:sz w:val="21"/>
                <w:szCs w:val="21"/>
                <w:highlight w:val="none"/>
              </w:rPr>
              <w:t>3.梳理掌握农村低收入群体住房信息。</w:t>
            </w:r>
          </w:p>
        </w:tc>
      </w:tr>
      <w:tr w14:paraId="36BEE8FE">
        <w:tblPrEx>
          <w:tblCellMar>
            <w:top w:w="0" w:type="dxa"/>
            <w:left w:w="108" w:type="dxa"/>
            <w:bottom w:w="0" w:type="dxa"/>
            <w:right w:w="108" w:type="dxa"/>
          </w:tblCellMar>
        </w:tblPrEx>
        <w:trPr>
          <w:cantSplit/>
          <w:trHeight w:val="65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6F1A9E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A0F94B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开展陪审员选任、立法草案征求意见工作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0309CD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宿城区司法局</w:t>
            </w:r>
          </w:p>
          <w:p w14:paraId="0593505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宿城区人民法院</w:t>
            </w:r>
          </w:p>
          <w:p w14:paraId="5CADC5C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宿迁市公安局</w:t>
            </w:r>
          </w:p>
          <w:p w14:paraId="762E747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AA7F68A">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1.相关部门共同开展人民陪审员选任工作。</w:t>
            </w:r>
          </w:p>
          <w:p w14:paraId="1B292E7C">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szCs w:val="21"/>
                <w:highlight w:val="none"/>
              </w:rPr>
              <w:t>2.宿城区司法局发挥“法治民意直通车”各平台载体作用，广泛征集立法草案意见建议。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863E87A">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1.开展人民陪审员候选人资格审查。</w:t>
            </w:r>
          </w:p>
          <w:p w14:paraId="01626D1C">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2.引导公众参与立法草案征求意见活动。</w:t>
            </w:r>
          </w:p>
        </w:tc>
      </w:tr>
      <w:tr w14:paraId="12C1C231">
        <w:tblPrEx>
          <w:tblCellMar>
            <w:top w:w="0" w:type="dxa"/>
            <w:left w:w="108" w:type="dxa"/>
            <w:bottom w:w="0" w:type="dxa"/>
            <w:right w:w="108" w:type="dxa"/>
          </w:tblCellMar>
        </w:tblPrEx>
        <w:trPr>
          <w:cantSplit/>
          <w:trHeight w:val="140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F97453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041DFD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法院执行、巡回审判工作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4F4F06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宿城区人民法院</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E3376D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1.建立协助执行案件流程管理规程，完善梳理排查、移交办理、结案反馈等工作环节，规范镇（街道）协助执行工作机制。</w:t>
            </w:r>
          </w:p>
          <w:p w14:paraId="619E9E8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2.对镇（街道）协助执行情况定期梳理分析，完善运行及保障机制。</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D3C2EA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1.依托网格配合做好协助送达、查找当事人、协查财产线索、督促履行、参与执行见证等工作。</w:t>
            </w:r>
          </w:p>
          <w:p w14:paraId="2981366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lang w:eastAsia="zh-CN"/>
              </w:rPr>
              <w:t>2.对涉探视权</w:t>
            </w:r>
            <w:r>
              <w:rPr>
                <w:rFonts w:hint="default" w:ascii="Times New Roman" w:hAnsi="Times New Roman" w:eastAsia="方正仿宋_GBK" w:cs="Times New Roman"/>
                <w:color w:val="auto"/>
                <w:szCs w:val="21"/>
                <w:highlight w:val="none"/>
              </w:rPr>
              <w:t>、相邻权、恢复原状、赡养费、抚养费等执行案件，协助督促当事人执行。</w:t>
            </w:r>
          </w:p>
        </w:tc>
      </w:tr>
      <w:tr w14:paraId="23AF0EF9">
        <w:tblPrEx>
          <w:tblCellMar>
            <w:top w:w="0" w:type="dxa"/>
            <w:left w:w="108" w:type="dxa"/>
            <w:bottom w:w="0" w:type="dxa"/>
            <w:right w:w="108" w:type="dxa"/>
          </w:tblCellMar>
        </w:tblPrEx>
        <w:trPr>
          <w:cantSplit/>
          <w:trHeight w:val="130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2C294C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E6CA55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bidi="ar"/>
              </w:rPr>
              <w:t>落实学校</w:t>
            </w:r>
            <w:r>
              <w:rPr>
                <w:rFonts w:hint="default" w:ascii="Times New Roman" w:hAnsi="Times New Roman" w:eastAsia="方正仿宋_GBK" w:cs="Times New Roman"/>
                <w:color w:val="auto"/>
                <w:kern w:val="0"/>
                <w:szCs w:val="21"/>
                <w:highlight w:val="none"/>
                <w:lang w:eastAsia="zh-CN" w:bidi="ar"/>
              </w:rPr>
              <w:t>（</w:t>
            </w:r>
            <w:r>
              <w:rPr>
                <w:rFonts w:hint="default" w:ascii="Times New Roman" w:hAnsi="Times New Roman" w:eastAsia="方正仿宋_GBK" w:cs="Times New Roman"/>
                <w:color w:val="auto"/>
                <w:kern w:val="0"/>
                <w:szCs w:val="21"/>
                <w:highlight w:val="none"/>
                <w:lang w:val="en-US" w:eastAsia="zh-CN" w:bidi="ar"/>
              </w:rPr>
              <w:t>幼儿园</w:t>
            </w:r>
            <w:r>
              <w:rPr>
                <w:rFonts w:hint="default" w:ascii="Times New Roman" w:hAnsi="Times New Roman" w:eastAsia="方正仿宋_GBK" w:cs="Times New Roman"/>
                <w:color w:val="auto"/>
                <w:kern w:val="0"/>
                <w:szCs w:val="21"/>
                <w:highlight w:val="none"/>
                <w:lang w:eastAsia="zh-CN" w:bidi="ar"/>
              </w:rPr>
              <w:t>）</w:t>
            </w:r>
            <w:r>
              <w:rPr>
                <w:rFonts w:hint="default" w:ascii="Times New Roman" w:hAnsi="Times New Roman" w:eastAsia="方正仿宋_GBK" w:cs="Times New Roman"/>
                <w:color w:val="auto"/>
                <w:kern w:val="0"/>
                <w:szCs w:val="21"/>
                <w:highlight w:val="none"/>
                <w:lang w:bidi="ar"/>
              </w:rPr>
              <w:t>安全工作责任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384BC7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bidi="ar"/>
              </w:rPr>
              <w:t>宿城区</w:t>
            </w:r>
            <w:r>
              <w:rPr>
                <w:rFonts w:hint="default" w:ascii="Times New Roman" w:hAnsi="Times New Roman" w:eastAsia="方正仿宋_GBK" w:cs="Times New Roman"/>
                <w:color w:val="auto"/>
                <w:kern w:val="0"/>
                <w:szCs w:val="21"/>
                <w:highlight w:val="none"/>
                <w:lang w:bidi="ar"/>
              </w:rPr>
              <w:t>教育局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97335A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1.负责建立教育、公安、市场监管等有关部门参加的学校</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lang w:val="en-US" w:eastAsia="zh-CN"/>
              </w:rPr>
              <w:t>幼儿园</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安全管理协作机制。</w:t>
            </w:r>
          </w:p>
          <w:p w14:paraId="7473835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2.督促各有关部门做好学生</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lang w:val="en-US" w:eastAsia="zh-CN"/>
              </w:rPr>
              <w:t>幼儿</w:t>
            </w:r>
            <w:r>
              <w:rPr>
                <w:rFonts w:hint="default" w:ascii="Times New Roman" w:hAnsi="Times New Roman" w:eastAsia="方正仿宋_GBK" w:cs="Times New Roman"/>
                <w:color w:val="auto"/>
                <w:szCs w:val="21"/>
                <w:highlight w:val="none"/>
              </w:rPr>
              <w:t>伤害事故预防与处理工作。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F7C022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配合</w:t>
            </w:r>
            <w:r>
              <w:rPr>
                <w:rFonts w:hint="default" w:ascii="Times New Roman" w:hAnsi="Times New Roman" w:eastAsia="方正仿宋_GBK" w:cs="Times New Roman"/>
                <w:color w:val="auto"/>
                <w:szCs w:val="21"/>
                <w:highlight w:val="none"/>
                <w:lang w:val="en-US" w:eastAsia="zh-CN"/>
              </w:rPr>
              <w:t>区</w:t>
            </w:r>
            <w:r>
              <w:rPr>
                <w:rFonts w:hint="default" w:ascii="Times New Roman" w:hAnsi="Times New Roman" w:eastAsia="方正仿宋_GBK" w:cs="Times New Roman"/>
                <w:color w:val="auto"/>
                <w:szCs w:val="21"/>
                <w:highlight w:val="none"/>
              </w:rPr>
              <w:t>教育局开展辖区学校</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lang w:val="en-US" w:eastAsia="zh-CN"/>
              </w:rPr>
              <w:t>幼儿园</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日常安全检查和隐患排查，发现问题及时上报。</w:t>
            </w:r>
          </w:p>
        </w:tc>
      </w:tr>
      <w:tr w14:paraId="2F3626D6">
        <w:tblPrEx>
          <w:tblCellMar>
            <w:top w:w="0" w:type="dxa"/>
            <w:left w:w="108" w:type="dxa"/>
            <w:bottom w:w="0" w:type="dxa"/>
            <w:right w:w="108" w:type="dxa"/>
          </w:tblCellMar>
        </w:tblPrEx>
        <w:trPr>
          <w:cantSplit/>
          <w:trHeight w:val="573"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5668F2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四、社会保障（11项）</w:t>
            </w:r>
          </w:p>
        </w:tc>
      </w:tr>
      <w:tr w14:paraId="09DA6C17">
        <w:tblPrEx>
          <w:tblCellMar>
            <w:top w:w="0" w:type="dxa"/>
            <w:left w:w="108" w:type="dxa"/>
            <w:bottom w:w="0" w:type="dxa"/>
            <w:right w:w="108" w:type="dxa"/>
          </w:tblCellMar>
        </w:tblPrEx>
        <w:trPr>
          <w:cantSplit/>
          <w:trHeight w:val="160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4BABB7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A8E4FF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养老托育服务设施建设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B66B57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bidi="ar"/>
              </w:rPr>
            </w:pPr>
            <w:r>
              <w:rPr>
                <w:rFonts w:hint="default" w:ascii="Times New Roman" w:hAnsi="Times New Roman" w:eastAsia="方正仿宋_GBK" w:cs="Times New Roman"/>
                <w:color w:val="auto"/>
                <w:kern w:val="0"/>
                <w:szCs w:val="21"/>
                <w:highlight w:val="none"/>
                <w:lang w:val="en-US" w:eastAsia="zh-CN" w:bidi="ar"/>
              </w:rPr>
              <w:t>宿城区发展和</w:t>
            </w:r>
          </w:p>
          <w:p w14:paraId="6732819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bidi="ar"/>
              </w:rPr>
            </w:pPr>
            <w:r>
              <w:rPr>
                <w:rFonts w:hint="default" w:ascii="Times New Roman" w:hAnsi="Times New Roman" w:eastAsia="方正仿宋_GBK" w:cs="Times New Roman"/>
                <w:color w:val="auto"/>
                <w:kern w:val="0"/>
                <w:szCs w:val="21"/>
                <w:highlight w:val="none"/>
                <w:lang w:val="en-US" w:eastAsia="zh-CN" w:bidi="ar"/>
              </w:rPr>
              <w:t>改革局</w:t>
            </w:r>
          </w:p>
          <w:p w14:paraId="1671746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宿城区卫生健康局</w:t>
            </w:r>
          </w:p>
          <w:p w14:paraId="144CCBC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宿城区民政局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DB5496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1.宿城区发展和改革局梳理掌握镇（街道）托育养老工作完成情况。</w:t>
            </w:r>
          </w:p>
          <w:p w14:paraId="18653B5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2.宿城区民政局、宿城区卫生健康局指导做好养老托育设施改造提升工作。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7EB102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建立健全辖区养老托育服务网络，协助新建和改建养老托育设施，推动养老托育服务能力向村</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社区</w:t>
            </w:r>
            <w:r>
              <w:rPr>
                <w:rFonts w:hint="default" w:ascii="Times New Roman" w:hAnsi="Times New Roman" w:eastAsia="方正仿宋_GBK" w:cs="Times New Roman"/>
                <w:color w:val="auto"/>
                <w:kern w:val="0"/>
                <w:szCs w:val="21"/>
                <w:highlight w:val="none"/>
              </w:rPr>
              <w:t>、家庭延伸。</w:t>
            </w:r>
          </w:p>
        </w:tc>
      </w:tr>
      <w:tr w14:paraId="14923070">
        <w:tblPrEx>
          <w:tblCellMar>
            <w:top w:w="0" w:type="dxa"/>
            <w:left w:w="108" w:type="dxa"/>
            <w:bottom w:w="0" w:type="dxa"/>
            <w:right w:w="108" w:type="dxa"/>
          </w:tblCellMar>
        </w:tblPrEx>
        <w:trPr>
          <w:cantSplit/>
          <w:trHeight w:val="137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7D32B7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599465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残疾人社区辅助性就业岗位</w:t>
            </w:r>
            <w:r>
              <w:rPr>
                <w:rFonts w:hint="default" w:ascii="Times New Roman" w:hAnsi="Times New Roman" w:eastAsia="方正仿宋_GBK" w:cs="Times New Roman"/>
                <w:color w:val="auto"/>
                <w:kern w:val="0"/>
                <w:szCs w:val="21"/>
                <w:highlight w:val="none"/>
                <w:lang w:val="en-US" w:eastAsia="zh-CN"/>
              </w:rPr>
              <w:t>的开发与管理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84A02E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宿城区残联</w:t>
            </w:r>
          </w:p>
          <w:p w14:paraId="1D99F97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AE0CBA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1.宿城</w:t>
            </w:r>
            <w:r>
              <w:rPr>
                <w:rFonts w:hint="default" w:ascii="Times New Roman" w:hAnsi="Times New Roman" w:eastAsia="方正仿宋_GBK" w:cs="Times New Roman"/>
                <w:color w:val="auto"/>
                <w:kern w:val="0"/>
                <w:szCs w:val="21"/>
                <w:highlight w:val="none"/>
              </w:rPr>
              <w:t>区残联要做好辅助性就业岗位的审批、统计汇总、经费拨付和补贴资金使用情况的监管工作。</w:t>
            </w:r>
          </w:p>
          <w:p w14:paraId="71B3866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2.宿城区财政局</w:t>
            </w:r>
            <w:r>
              <w:rPr>
                <w:rFonts w:hint="default" w:ascii="Times New Roman" w:hAnsi="Times New Roman" w:eastAsia="方正仿宋_GBK" w:cs="Times New Roman"/>
                <w:color w:val="auto"/>
                <w:kern w:val="0"/>
                <w:szCs w:val="21"/>
                <w:highlight w:val="none"/>
              </w:rPr>
              <w:t>要做好经费的及时拨付和监管。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544528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负责对岗位的开发、筛选、审核、日常管理和考核。</w:t>
            </w:r>
          </w:p>
        </w:tc>
      </w:tr>
      <w:tr w14:paraId="62BDCAC3">
        <w:tblPrEx>
          <w:tblCellMar>
            <w:top w:w="0" w:type="dxa"/>
            <w:left w:w="108" w:type="dxa"/>
            <w:bottom w:w="0" w:type="dxa"/>
            <w:right w:w="108" w:type="dxa"/>
          </w:tblCellMar>
        </w:tblPrEx>
        <w:trPr>
          <w:cantSplit/>
          <w:trHeight w:val="127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548E8C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1C1DCD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开展残疾人补贴资金监管、保险理赔和就业培训工作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14F958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宿城区残联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44A9FF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1.负责救助工作的统计汇总，监督资金使用。</w:t>
            </w:r>
          </w:p>
          <w:p w14:paraId="7381E51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2.做好未参加基本医保的生活困难残疾人参保工作。</w:t>
            </w:r>
          </w:p>
          <w:p w14:paraId="45189D0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3.为残疾人等困难人群提供政策服务。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856BE9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1.开展辖区内残疾人政策宣传，协助残疾人申请意外伤害保险理赔。</w:t>
            </w:r>
          </w:p>
          <w:p w14:paraId="2FBCFD5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2.摸排辖区内残疾人的就业情况并及时上报。</w:t>
            </w:r>
          </w:p>
          <w:p w14:paraId="7ABA442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3.动员辖区内未就业的残疾人参加区级技能培训。</w:t>
            </w:r>
          </w:p>
        </w:tc>
      </w:tr>
      <w:tr w14:paraId="1E39D3B0">
        <w:tblPrEx>
          <w:tblCellMar>
            <w:top w:w="0" w:type="dxa"/>
            <w:left w:w="108" w:type="dxa"/>
            <w:bottom w:w="0" w:type="dxa"/>
            <w:right w:w="108" w:type="dxa"/>
          </w:tblCellMar>
        </w:tblPrEx>
        <w:trPr>
          <w:cantSplit/>
          <w:trHeight w:val="87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FEDCAF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EB4759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参保居民丧葬补助金的审核发放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B61687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97A5A9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负责做好丧葬补助金的复核</w:t>
            </w:r>
            <w:r>
              <w:rPr>
                <w:rFonts w:hint="default" w:ascii="Times New Roman" w:hAnsi="Times New Roman" w:eastAsia="方正仿宋_GBK" w:cs="Times New Roman"/>
                <w:b w:val="0"/>
                <w:bCs w:val="0"/>
                <w:color w:val="auto"/>
                <w:kern w:val="0"/>
                <w:szCs w:val="21"/>
                <w:highlight w:val="none"/>
                <w:lang w:eastAsia="zh-CN"/>
              </w:rPr>
              <w:t>及发放</w:t>
            </w:r>
            <w:r>
              <w:rPr>
                <w:rFonts w:hint="default" w:ascii="Times New Roman" w:hAnsi="Times New Roman" w:eastAsia="方正仿宋_GBK" w:cs="Times New Roman"/>
                <w:color w:val="auto"/>
                <w:kern w:val="0"/>
                <w:szCs w:val="21"/>
                <w:highlight w:val="none"/>
              </w:rPr>
              <w:t>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D437468">
            <w:pPr>
              <w:keepNext w:val="0"/>
              <w:keepLines w:val="0"/>
              <w:pageBreakBefore w:val="0"/>
              <w:widowControl/>
              <w:kinsoku/>
              <w:wordWrap/>
              <w:overflowPunct/>
              <w:topLinePunct w:val="0"/>
              <w:bidi w:val="0"/>
              <w:spacing w:line="28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1.协助开展丧葬补助金初审工作。</w:t>
            </w:r>
          </w:p>
          <w:p w14:paraId="5C6957C2">
            <w:pPr>
              <w:keepNext w:val="0"/>
              <w:keepLines w:val="0"/>
              <w:pageBreakBefore w:val="0"/>
              <w:widowControl/>
              <w:kinsoku/>
              <w:wordWrap/>
              <w:overflowPunct/>
              <w:topLinePunct w:val="0"/>
              <w:bidi w:val="0"/>
              <w:spacing w:line="28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2.配合做好居民养老保险缴费查询工作。</w:t>
            </w:r>
          </w:p>
        </w:tc>
      </w:tr>
      <w:tr w14:paraId="2410C800">
        <w:tblPrEx>
          <w:tblCellMar>
            <w:top w:w="0" w:type="dxa"/>
            <w:left w:w="108" w:type="dxa"/>
            <w:bottom w:w="0" w:type="dxa"/>
            <w:right w:w="108" w:type="dxa"/>
          </w:tblCellMar>
        </w:tblPrEx>
        <w:trPr>
          <w:cantSplit/>
          <w:trHeight w:val="184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74EAF6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0F27BA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被征地农民社会保障服务工作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C87818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64B0D9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 w:val="0"/>
                <w:bCs w:val="0"/>
                <w:color w:val="auto"/>
                <w:kern w:val="0"/>
                <w:szCs w:val="21"/>
                <w:highlight w:val="none"/>
              </w:rPr>
            </w:pPr>
            <w:r>
              <w:rPr>
                <w:rFonts w:hint="default" w:ascii="Times New Roman" w:hAnsi="Times New Roman" w:eastAsia="方正仿宋_GBK" w:cs="Times New Roman"/>
                <w:b w:val="0"/>
                <w:bCs w:val="0"/>
                <w:color w:val="auto"/>
                <w:kern w:val="0"/>
                <w:szCs w:val="21"/>
                <w:highlight w:val="none"/>
              </w:rPr>
              <w:t>1.开展保障类型确认复核、居保代缴和企保报销</w:t>
            </w:r>
            <w:r>
              <w:rPr>
                <w:rFonts w:hint="default" w:ascii="Times New Roman" w:hAnsi="Times New Roman" w:eastAsia="方正仿宋_GBK" w:cs="Times New Roman"/>
                <w:b w:val="0"/>
                <w:bCs w:val="0"/>
                <w:color w:val="auto"/>
                <w:kern w:val="0"/>
                <w:szCs w:val="21"/>
                <w:highlight w:val="none"/>
                <w:lang w:eastAsia="zh-CN"/>
              </w:rPr>
              <w:t>、被征地社保个人分账户注销复核等</w:t>
            </w:r>
            <w:r>
              <w:rPr>
                <w:rFonts w:hint="default" w:ascii="Times New Roman" w:hAnsi="Times New Roman" w:eastAsia="方正仿宋_GBK" w:cs="Times New Roman"/>
                <w:b w:val="0"/>
                <w:bCs w:val="0"/>
                <w:color w:val="auto"/>
                <w:kern w:val="0"/>
                <w:szCs w:val="21"/>
                <w:highlight w:val="none"/>
              </w:rPr>
              <w:t>工作。</w:t>
            </w:r>
          </w:p>
          <w:p w14:paraId="69E0304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2.做好被征地保障类型确认、保障关系公布、接收信息查询、缴费信息打印、保障类型变更。</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4553BD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1.初步审核被征地的农村集体经济组织提出的安置人员名单。</w:t>
            </w:r>
          </w:p>
          <w:p w14:paraId="768AE35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2.收集群众参加企业保险报销材料，做好保障类型变更工作。</w:t>
            </w:r>
          </w:p>
        </w:tc>
      </w:tr>
      <w:tr w14:paraId="57435B40">
        <w:tblPrEx>
          <w:tblCellMar>
            <w:top w:w="0" w:type="dxa"/>
            <w:left w:w="108" w:type="dxa"/>
            <w:bottom w:w="0" w:type="dxa"/>
            <w:right w:w="108" w:type="dxa"/>
          </w:tblCellMar>
        </w:tblPrEx>
        <w:trPr>
          <w:cantSplit/>
          <w:trHeight w:val="255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B47366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666D3F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提供创业补贴发放、招工引才、创业贷款办理等服务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99D400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DD6DFC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1.对申报资料和创业实体进行调查和资料审核，按季度汇总报同级财政部门按规定核拨资金。</w:t>
            </w:r>
          </w:p>
          <w:p w14:paraId="4BD7BAA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2.安排招聘活动，归集招聘需求，举办招聘活动。</w:t>
            </w:r>
          </w:p>
          <w:p w14:paraId="6CAC1F3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3.向贷款申请人提供创业指导、创业培训等服务。</w:t>
            </w:r>
          </w:p>
          <w:p w14:paraId="7A167E7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4.做好个人富民创业担保贷款申请的资质认定，扩大创业贷款受益面。</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30A036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1.对创业补贴申报材料进行初审，对创业项目进行现场核查后上报。</w:t>
            </w:r>
          </w:p>
          <w:p w14:paraId="2E49AEE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2.组织人员参加区级招聘活动，做好</w:t>
            </w:r>
            <w:r>
              <w:rPr>
                <w:rFonts w:hint="default" w:ascii="Times New Roman" w:hAnsi="Times New Roman" w:eastAsia="方正仿宋_GBK" w:cs="Times New Roman"/>
                <w:color w:val="auto"/>
                <w:kern w:val="0"/>
                <w:szCs w:val="21"/>
                <w:highlight w:val="none"/>
                <w:lang w:val="en-US" w:eastAsia="zh-CN"/>
              </w:rPr>
              <w:t>本</w:t>
            </w:r>
            <w:r>
              <w:rPr>
                <w:rFonts w:hint="default" w:ascii="Times New Roman" w:hAnsi="Times New Roman" w:eastAsia="方正仿宋_GBK" w:cs="Times New Roman"/>
                <w:color w:val="auto"/>
                <w:kern w:val="0"/>
                <w:szCs w:val="21"/>
                <w:highlight w:val="none"/>
              </w:rPr>
              <w:t>级层面招聘活动，调查、收集、汇总企业招工信息，配合企业招工引才。</w:t>
            </w:r>
          </w:p>
          <w:p w14:paraId="643A1BB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3.受理贷款申请，确定创业者身份类别并作出标识。</w:t>
            </w:r>
          </w:p>
        </w:tc>
      </w:tr>
      <w:tr w14:paraId="731D1D74">
        <w:tblPrEx>
          <w:tblCellMar>
            <w:top w:w="0" w:type="dxa"/>
            <w:left w:w="108" w:type="dxa"/>
            <w:bottom w:w="0" w:type="dxa"/>
            <w:right w:w="108" w:type="dxa"/>
          </w:tblCellMar>
        </w:tblPrEx>
        <w:trPr>
          <w:cantSplit/>
          <w:trHeight w:val="198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C79016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20AF44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医保政策宣传与保费收缴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C491EA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宿城区税务局</w:t>
            </w:r>
          </w:p>
          <w:p w14:paraId="535DBAE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宿城区医疗保障局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FA820E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1.宿城区医疗保障局下发居民医疗保险待遇调整政策文件。</w:t>
            </w:r>
          </w:p>
          <w:p w14:paraId="5DE4755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2.宿城区税务局组织做好“江苏税务”APP、微信“江苏税务社保缴纳”、支付宝“江苏税务社保缴纳”小程序缴费。</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5A4042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1.通过发放宣传单、召开会议、播放广播等形式开展政策宣传。</w:t>
            </w:r>
          </w:p>
          <w:p w14:paraId="7914844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2.协助做好征缴工作。</w:t>
            </w:r>
          </w:p>
        </w:tc>
      </w:tr>
      <w:tr w14:paraId="5980DA4D">
        <w:tblPrEx>
          <w:tblCellMar>
            <w:top w:w="0" w:type="dxa"/>
            <w:left w:w="108" w:type="dxa"/>
            <w:bottom w:w="0" w:type="dxa"/>
            <w:right w:w="108" w:type="dxa"/>
          </w:tblCellMar>
        </w:tblPrEx>
        <w:trPr>
          <w:cantSplit/>
          <w:trHeight w:val="195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C0C63F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D27762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伤残抚恤资金使用情况监督管理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FA6E5B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57A9F79">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1.对伤残抚恤金申报材料进行核实和资格审查。</w:t>
            </w:r>
          </w:p>
          <w:p w14:paraId="65F35D14">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2.建立执法联动机制，对优抚对象冒领抚恤金、优待金、补助金，伪造证件</w:t>
            </w:r>
            <w:r>
              <w:rPr>
                <w:rFonts w:hint="default" w:ascii="Times New Roman" w:hAnsi="Times New Roman" w:eastAsia="方正仿宋_GBK" w:cs="Times New Roman"/>
                <w:color w:val="auto"/>
                <w:kern w:val="0"/>
                <w:szCs w:val="21"/>
                <w:highlight w:val="none"/>
                <w:lang w:val="en-US" w:eastAsia="zh-CN"/>
              </w:rPr>
              <w:t>或</w:t>
            </w:r>
            <w:r>
              <w:rPr>
                <w:rFonts w:hint="default" w:ascii="Times New Roman" w:hAnsi="Times New Roman" w:eastAsia="方正仿宋_GBK" w:cs="Times New Roman"/>
                <w:color w:val="auto"/>
                <w:kern w:val="0"/>
                <w:szCs w:val="21"/>
                <w:highlight w:val="none"/>
              </w:rPr>
              <w:t>印章骗取抚恤金、优待金、补助金，冒领、骗取烈士褒扬金和抚恤金等违法行为进行查处。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CDAF76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1.协助追缴违规领取的伤残抚恤金。</w:t>
            </w:r>
          </w:p>
          <w:p w14:paraId="1EA2AE7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2.对发现的违法违规领取抚恤金的问题线索，及时上报。</w:t>
            </w:r>
          </w:p>
        </w:tc>
      </w:tr>
      <w:tr w14:paraId="7BADC1E9">
        <w:tblPrEx>
          <w:tblCellMar>
            <w:top w:w="0" w:type="dxa"/>
            <w:left w:w="108" w:type="dxa"/>
            <w:bottom w:w="0" w:type="dxa"/>
            <w:right w:w="108" w:type="dxa"/>
          </w:tblCellMar>
        </w:tblPrEx>
        <w:trPr>
          <w:cantSplit/>
          <w:trHeight w:val="161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E25AE3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977FF7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打造退役军人服务平台，开展志愿服务活动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FEF90C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3D8982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1.打造特色化服务站和优秀退役军人之家。</w:t>
            </w:r>
          </w:p>
          <w:p w14:paraId="773D008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2.做好全区退役军人志愿服务筹划、组织、检查、指导等工作。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8B1F8C7">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1.推荐辖区内企业打造“戎耀之家”，为特色化服务站和优秀退役军人之家提供场所阵地、基础设备等保障。</w:t>
            </w:r>
          </w:p>
          <w:p w14:paraId="7701BBE8">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2.组建退役军人志愿服务队，开展退役军人志愿服务活动，广泛宣传和选树典型。</w:t>
            </w:r>
          </w:p>
        </w:tc>
      </w:tr>
      <w:tr w14:paraId="4EB8D5C2">
        <w:tblPrEx>
          <w:tblCellMar>
            <w:top w:w="0" w:type="dxa"/>
            <w:left w:w="108" w:type="dxa"/>
            <w:bottom w:w="0" w:type="dxa"/>
            <w:right w:w="108" w:type="dxa"/>
          </w:tblCellMar>
        </w:tblPrEx>
        <w:trPr>
          <w:cantSplit/>
          <w:trHeight w:val="185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8F4E76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w:t>
            </w:r>
            <w:r>
              <w:rPr>
                <w:rFonts w:hint="default" w:ascii="Times New Roman" w:hAnsi="Times New Roman" w:eastAsia="方正仿宋_GBK" w:cs="Times New Roman"/>
                <w:color w:val="auto"/>
                <w:kern w:val="0"/>
                <w:szCs w:val="21"/>
                <w:highlight w:val="none"/>
                <w:lang w:val="en-US" w:eastAsia="zh-CN"/>
              </w:rPr>
              <w:t>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2E9A85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低收入家庭住房补贴给付与公共租赁住房申请审核</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F614FD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宿城区住房和</w:t>
            </w:r>
          </w:p>
          <w:p w14:paraId="458065E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C658D8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1.对申请人的家庭住房情况是否符合规定条件提出审核意见，并转送区民政局等部门，做好低收入家庭住房补贴审核发放工作。</w:t>
            </w:r>
          </w:p>
          <w:p w14:paraId="051AA34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2.依法对违法违规申请公共租赁住房或申报补贴行为进行查处。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85296C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trike w:val="0"/>
                <w:dstrike w:val="0"/>
                <w:color w:val="auto"/>
                <w:kern w:val="0"/>
                <w:szCs w:val="21"/>
                <w:highlight w:val="none"/>
              </w:rPr>
            </w:pPr>
            <w:r>
              <w:rPr>
                <w:rFonts w:hint="default" w:ascii="Times New Roman" w:hAnsi="Times New Roman" w:eastAsia="方正仿宋_GBK" w:cs="Times New Roman"/>
                <w:strike w:val="0"/>
                <w:dstrike w:val="0"/>
                <w:color w:val="auto"/>
                <w:kern w:val="0"/>
                <w:szCs w:val="21"/>
                <w:highlight w:val="none"/>
              </w:rPr>
              <w:t>1.对申请人的家庭收入、家庭人口状况、住房状况、财产状况等进行初审，提出初审意见并公示上报。</w:t>
            </w:r>
          </w:p>
          <w:p w14:paraId="57C1815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2.对发现违法违规申请公共租赁住房或申报补贴的问题线索，及时上报。</w:t>
            </w:r>
          </w:p>
        </w:tc>
      </w:tr>
      <w:tr w14:paraId="56F8AD94">
        <w:tblPrEx>
          <w:tblCellMar>
            <w:top w:w="0" w:type="dxa"/>
            <w:left w:w="108" w:type="dxa"/>
            <w:bottom w:w="0" w:type="dxa"/>
            <w:right w:w="108" w:type="dxa"/>
          </w:tblCellMar>
        </w:tblPrEx>
        <w:trPr>
          <w:cantSplit/>
          <w:trHeight w:val="135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635A98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47C7F9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职业病防治工作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E03D49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30041F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1.负责辖区内职业病防治的监督管理工作，及时处理检举控告信息。</w:t>
            </w:r>
          </w:p>
          <w:p w14:paraId="51F36F2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2.对防治职业病成绩显著的单位和个人进行奖励。</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C8B576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1.在辖区范围内开展职业病防治政策宣传、科普教育。</w:t>
            </w:r>
          </w:p>
          <w:p w14:paraId="490841A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2.受理并转报违反职业病防治规定的问题线索，配合调解处理违法违规问题。</w:t>
            </w:r>
          </w:p>
        </w:tc>
      </w:tr>
      <w:tr w14:paraId="0EF73E30">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02556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五、生态环保（7项）</w:t>
            </w:r>
          </w:p>
        </w:tc>
      </w:tr>
      <w:tr w14:paraId="42BE4E84">
        <w:tblPrEx>
          <w:tblCellMar>
            <w:top w:w="0" w:type="dxa"/>
            <w:left w:w="108" w:type="dxa"/>
            <w:bottom w:w="0" w:type="dxa"/>
            <w:right w:w="108" w:type="dxa"/>
          </w:tblCellMar>
        </w:tblPrEx>
        <w:trPr>
          <w:cantSplit/>
          <w:trHeight w:val="432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C748C3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 w:val="21"/>
                <w:szCs w:val="21"/>
                <w:highlight w:val="none"/>
                <w:lang w:val="en-US" w:eastAsia="zh-CN" w:bidi="ar-SA"/>
              </w:rPr>
              <w:t>30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26CAD4B">
            <w:pPr>
              <w:keepNext w:val="0"/>
              <w:keepLines w:val="0"/>
              <w:pageBreakBefore w:val="0"/>
              <w:widowControl/>
              <w:kinsoku/>
              <w:wordWrap/>
              <w:overflowPunct/>
              <w:topLinePunct w:val="0"/>
              <w:bidi w:val="0"/>
              <w:spacing w:line="24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大气污染防治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F9F9547">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1EC4D4CB">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宿城区水利局</w:t>
            </w:r>
          </w:p>
          <w:p w14:paraId="6B794A42">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宿城区发展和</w:t>
            </w:r>
          </w:p>
          <w:p w14:paraId="5A0BC39B">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改革局</w:t>
            </w:r>
          </w:p>
          <w:p w14:paraId="3B0167B2">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宿城区市场监督管理局</w:t>
            </w:r>
          </w:p>
          <w:p w14:paraId="47F5541F">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宿城区住房和</w:t>
            </w:r>
          </w:p>
          <w:p w14:paraId="7344617F">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城乡建设局</w:t>
            </w:r>
          </w:p>
          <w:p w14:paraId="59239240">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938622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生态环境局负责制定年度大气污染防治计划，制定重污染天气的应对方案，确定大气污染物减排目标及具体实施方案，协调推进大气污染联防联控机制，推进重点企业行业大气污染防治整治提升，推进温室气体减排工作。</w:t>
            </w:r>
          </w:p>
          <w:p w14:paraId="04BED3A0">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.宿城区水利局负责水利工程扬尘污染防治。</w:t>
            </w:r>
          </w:p>
          <w:p w14:paraId="2AF58DC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.宿城区发展和改革局负责清洁能源保障工作。</w:t>
            </w:r>
          </w:p>
          <w:p w14:paraId="58F33522">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4</w:t>
            </w:r>
            <w:r>
              <w:rPr>
                <w:rFonts w:hint="default" w:ascii="Times New Roman" w:hAnsi="Times New Roman" w:eastAsia="方正仿宋_GBK" w:cs="Times New Roman"/>
                <w:color w:val="auto"/>
                <w:kern w:val="0"/>
                <w:szCs w:val="21"/>
                <w:highlight w:val="none"/>
              </w:rPr>
              <w:t>.宿城区市场监督管理局会同生态环境主管部门对锅炉生产、进口、销售和使用环节执行环境保护标准或要求的情况进行监督检查。</w:t>
            </w:r>
          </w:p>
          <w:p w14:paraId="5D30BB0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5</w:t>
            </w:r>
            <w:r>
              <w:rPr>
                <w:rFonts w:hint="default" w:ascii="Times New Roman" w:hAnsi="Times New Roman" w:eastAsia="方正仿宋_GBK" w:cs="Times New Roman"/>
                <w:color w:val="auto"/>
                <w:kern w:val="0"/>
                <w:szCs w:val="21"/>
                <w:highlight w:val="none"/>
              </w:rPr>
              <w:t>.宿城区住房和城乡建设局</w:t>
            </w:r>
            <w:r>
              <w:rPr>
                <w:rFonts w:hint="default" w:ascii="Times New Roman" w:hAnsi="Times New Roman" w:eastAsia="方正仿宋_GBK" w:cs="Times New Roman"/>
                <w:color w:val="auto"/>
                <w:spacing w:val="-6"/>
                <w:kern w:val="0"/>
                <w:szCs w:val="21"/>
                <w:highlight w:val="none"/>
              </w:rPr>
              <w:t>负责建筑工程扬尘污染防治</w:t>
            </w:r>
            <w:r>
              <w:rPr>
                <w:rFonts w:hint="default" w:ascii="Times New Roman" w:hAnsi="Times New Roman" w:eastAsia="方正仿宋_GBK" w:cs="Times New Roman"/>
                <w:color w:val="auto"/>
                <w:kern w:val="0"/>
                <w:szCs w:val="21"/>
                <w:highlight w:val="none"/>
              </w:rPr>
              <w:t>。</w:t>
            </w:r>
          </w:p>
          <w:p w14:paraId="2EDC97F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6</w:t>
            </w:r>
            <w:r>
              <w:rPr>
                <w:rFonts w:hint="default" w:ascii="Times New Roman" w:hAnsi="Times New Roman" w:eastAsia="方正仿宋_GBK" w:cs="Times New Roman"/>
                <w:color w:val="auto"/>
                <w:kern w:val="0"/>
                <w:szCs w:val="21"/>
                <w:highlight w:val="none"/>
              </w:rPr>
              <w:t>.宿城区交通运输局负责码头扬尘污染防治。</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F32C57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1.加强大气环境保护宣传，普及大气污染防治法律法规和科学知识。</w:t>
            </w:r>
          </w:p>
          <w:p w14:paraId="364BE99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2.对大气污染防治开展日常巡查。</w:t>
            </w:r>
          </w:p>
          <w:p w14:paraId="5E18826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3.及时制止、处置各类环境污染和生态破坏行为，及时上报涉嫌环境违法情况。</w:t>
            </w:r>
          </w:p>
          <w:p w14:paraId="70A4D3A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 xml:space="preserve">4.受理破坏大气环境投诉，调处环境初信初访和矛盾纠纷。 </w:t>
            </w:r>
          </w:p>
        </w:tc>
      </w:tr>
      <w:tr w14:paraId="54597972">
        <w:tblPrEx>
          <w:tblCellMar>
            <w:top w:w="0" w:type="dxa"/>
            <w:left w:w="108" w:type="dxa"/>
            <w:bottom w:w="0" w:type="dxa"/>
            <w:right w:w="108" w:type="dxa"/>
          </w:tblCellMar>
        </w:tblPrEx>
        <w:trPr>
          <w:cantSplit/>
          <w:trHeight w:val="227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057787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DB4828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水污染防治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5FF844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7845C1C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宿城区水利局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2E4EAD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1.宿城生态环境局负责对全区水生态环境开展日常监督管理，拟定并组织实施水污染防治计划，</w:t>
            </w:r>
            <w:r>
              <w:rPr>
                <w:rFonts w:hint="default" w:ascii="Times New Roman" w:hAnsi="Times New Roman" w:eastAsia="方正仿宋_GBK" w:cs="Times New Roman"/>
                <w:color w:val="auto"/>
                <w:kern w:val="0"/>
                <w:szCs w:val="21"/>
                <w:highlight w:val="none"/>
                <w:lang w:eastAsia="zh-CN"/>
              </w:rPr>
              <w:t>配合做好入河排污口日常管理</w:t>
            </w:r>
            <w:r>
              <w:rPr>
                <w:rFonts w:hint="default" w:ascii="Times New Roman" w:hAnsi="Times New Roman" w:eastAsia="方正仿宋_GBK" w:cs="Times New Roman"/>
                <w:color w:val="auto"/>
                <w:kern w:val="0"/>
                <w:szCs w:val="21"/>
                <w:highlight w:val="none"/>
              </w:rPr>
              <w:t>，水污染减排、饮用水水源地生态环境保护，区域流域生态环境补偿等日常管理工作。</w:t>
            </w:r>
          </w:p>
          <w:p w14:paraId="54C962C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.宿城区水利局配合宿城生态环境局对建设单位在江河、湖泊新建、改建、扩建排污口进行审核监管。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B1063B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1.加强水环境保护宣传教育。</w:t>
            </w:r>
          </w:p>
          <w:p w14:paraId="5B89140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2.统筹规划建设农村污水、垃圾处理设施，并保障其正常运行。</w:t>
            </w:r>
          </w:p>
          <w:p w14:paraId="6DDEF7E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3.对水生态环境开展日常巡查，发现违法情况及时上报。</w:t>
            </w:r>
          </w:p>
        </w:tc>
      </w:tr>
      <w:tr w14:paraId="606D6CB4">
        <w:tblPrEx>
          <w:tblCellMar>
            <w:top w:w="0" w:type="dxa"/>
            <w:left w:w="108" w:type="dxa"/>
            <w:bottom w:w="0" w:type="dxa"/>
            <w:right w:w="108" w:type="dxa"/>
          </w:tblCellMar>
        </w:tblPrEx>
        <w:trPr>
          <w:cantSplit/>
          <w:trHeight w:val="581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56182B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971DE3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土壤污染防治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BEEACB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044F73C8">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宿迁市自然资源和规划局宿城分局</w:t>
            </w:r>
          </w:p>
          <w:p w14:paraId="3DA24C5E">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kern w:val="0"/>
                <w:szCs w:val="21"/>
                <w:highlight w:val="none"/>
              </w:rPr>
              <w:t>宿</w:t>
            </w:r>
            <w:r>
              <w:rPr>
                <w:rFonts w:hint="default" w:ascii="Times New Roman" w:hAnsi="Times New Roman" w:eastAsia="方正仿宋_GBK" w:cs="Times New Roman"/>
                <w:color w:val="auto"/>
                <w:spacing w:val="-6"/>
                <w:kern w:val="0"/>
                <w:sz w:val="21"/>
                <w:szCs w:val="21"/>
                <w:highlight w:val="none"/>
              </w:rPr>
              <w:t>城区农业农村局</w:t>
            </w:r>
          </w:p>
          <w:p w14:paraId="777FE6F0">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AAE9ACD">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auto"/>
                <w:spacing w:val="-6"/>
                <w:kern w:val="0"/>
                <w:szCs w:val="21"/>
                <w:highlight w:val="none"/>
              </w:rPr>
            </w:pPr>
            <w:r>
              <w:rPr>
                <w:rFonts w:hint="default" w:ascii="Times New Roman" w:hAnsi="Times New Roman" w:eastAsia="方正仿宋_GBK" w:cs="Times New Roman"/>
                <w:color w:val="auto"/>
                <w:kern w:val="0"/>
                <w:szCs w:val="21"/>
                <w:highlight w:val="none"/>
              </w:rPr>
              <w:t>1.宿城生态环境局负责全区土壤及地下水环境监督管理；承担土壤环境保护职责；贯彻执行土壤污染防治方针政策和管理制度；建立并公开区级土壤污染重点监管企业名单；做好疑似污染地块和污染地块安全利用监管，开展土壤污染风险管控和修复管理；贯彻落实工业用地和经营性用地土壤环境保护管理制度。</w:t>
            </w:r>
          </w:p>
          <w:p w14:paraId="2FFD5173">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auto"/>
                <w:spacing w:val="-6"/>
                <w:kern w:val="0"/>
                <w:szCs w:val="21"/>
                <w:highlight w:val="none"/>
              </w:rPr>
            </w:pPr>
            <w:r>
              <w:rPr>
                <w:rFonts w:hint="default" w:ascii="Times New Roman" w:hAnsi="Times New Roman" w:eastAsia="方正仿宋_GBK" w:cs="Times New Roman"/>
                <w:color w:val="auto"/>
                <w:spacing w:val="-6"/>
                <w:kern w:val="0"/>
                <w:szCs w:val="21"/>
                <w:highlight w:val="none"/>
                <w:lang w:val="en-US" w:eastAsia="zh-CN"/>
              </w:rPr>
              <w:t>2</w:t>
            </w:r>
            <w:r>
              <w:rPr>
                <w:rFonts w:hint="default" w:ascii="Times New Roman" w:hAnsi="Times New Roman" w:eastAsia="方正仿宋_GBK" w:cs="Times New Roman"/>
                <w:color w:val="auto"/>
                <w:spacing w:val="-6"/>
                <w:kern w:val="0"/>
                <w:szCs w:val="21"/>
                <w:highlight w:val="none"/>
              </w:rPr>
              <w:t>.宿迁市自然资源和规划局宿城分局依据工业用地和经营性用地土壤环境保护管理制度开展土地流转程序。</w:t>
            </w:r>
          </w:p>
          <w:p w14:paraId="6E4E3C9F">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w:t>
            </w:r>
            <w:r>
              <w:rPr>
                <w:rFonts w:hint="default" w:ascii="Times New Roman" w:hAnsi="Times New Roman" w:eastAsia="方正仿宋_GBK" w:cs="Times New Roman"/>
                <w:color w:val="auto"/>
                <w:kern w:val="0"/>
                <w:szCs w:val="21"/>
                <w:highlight w:val="none"/>
                <w:lang w:eastAsia="zh-CN"/>
              </w:rPr>
              <w:t>宿城区农业农村局负责对耕地环境省级监测点的土壤和农产品进行例行监测</w:t>
            </w:r>
            <w:r>
              <w:rPr>
                <w:rFonts w:hint="default" w:ascii="Times New Roman" w:hAnsi="Times New Roman" w:eastAsia="方正仿宋_GBK" w:cs="Times New Roman"/>
                <w:color w:val="auto"/>
                <w:kern w:val="0"/>
                <w:szCs w:val="21"/>
                <w:highlight w:val="none"/>
              </w:rPr>
              <w:t>；开展受污染耕地分类管理和安全利用工作；</w:t>
            </w:r>
            <w:r>
              <w:rPr>
                <w:rFonts w:hint="default" w:ascii="Times New Roman" w:hAnsi="Times New Roman" w:eastAsia="方正仿宋_GBK" w:cs="Times New Roman"/>
                <w:color w:val="auto"/>
                <w:kern w:val="0"/>
                <w:szCs w:val="21"/>
                <w:highlight w:val="none"/>
                <w:lang w:eastAsia="zh-CN"/>
              </w:rPr>
              <w:t>配合生态环境</w:t>
            </w:r>
            <w:r>
              <w:rPr>
                <w:rFonts w:hint="default" w:ascii="Times New Roman" w:hAnsi="Times New Roman" w:eastAsia="方正仿宋_GBK" w:cs="Times New Roman"/>
                <w:color w:val="auto"/>
                <w:kern w:val="0"/>
                <w:szCs w:val="21"/>
                <w:highlight w:val="none"/>
                <w:lang w:val="en-US" w:eastAsia="zh-CN"/>
              </w:rPr>
              <w:t>部门</w:t>
            </w:r>
            <w:r>
              <w:rPr>
                <w:rFonts w:hint="default" w:ascii="Times New Roman" w:hAnsi="Times New Roman" w:eastAsia="方正仿宋_GBK" w:cs="Times New Roman"/>
                <w:color w:val="auto"/>
                <w:kern w:val="0"/>
                <w:szCs w:val="21"/>
                <w:highlight w:val="none"/>
              </w:rPr>
              <w:t>开展土壤污染治理与修复技术试点；完成耕地土壤环境质量类别动态调整；对未利用地、复垦土地等拟开垦为耕地的，开展土壤污染状况调查；根据耕地环境质量类别划定落实管理措施，控制区域农业面源污染，保障农业用地安全利用，推进农业废弃物综合利用。</w:t>
            </w:r>
          </w:p>
          <w:p w14:paraId="24253937">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w:t>
            </w:r>
            <w:r>
              <w:rPr>
                <w:rFonts w:hint="default" w:ascii="Times New Roman" w:hAnsi="Times New Roman" w:eastAsia="方正仿宋_GBK" w:cs="Times New Roman"/>
                <w:color w:val="auto"/>
                <w:kern w:val="0"/>
                <w:szCs w:val="21"/>
                <w:highlight w:val="none"/>
              </w:rPr>
              <w:t>.宿城区城市管理局负责减少区域生活点源污染，提高生活废物处置能力，推进生活垃圾无害化处置，落实并完善生活垃圾分类收运体系建设。</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F5185C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1.加强土壤污染防治宣传教育和科学普及。</w:t>
            </w:r>
          </w:p>
          <w:p w14:paraId="02CAF36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2.对土壤及地下水污染防治开展日常巡查，发现情况及时上报。</w:t>
            </w:r>
          </w:p>
          <w:p w14:paraId="69B2B67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3.配合开展农村生态环境和农业面源污染治理、暂不开发利用污染地块风险管控工作。</w:t>
            </w:r>
          </w:p>
          <w:p w14:paraId="06CE59C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4.配合开展地下水污染防治日常管理工作。</w:t>
            </w:r>
          </w:p>
        </w:tc>
      </w:tr>
      <w:tr w14:paraId="252781DC">
        <w:tblPrEx>
          <w:tblCellMar>
            <w:top w:w="0" w:type="dxa"/>
            <w:left w:w="108" w:type="dxa"/>
            <w:bottom w:w="0" w:type="dxa"/>
            <w:right w:w="108" w:type="dxa"/>
          </w:tblCellMar>
        </w:tblPrEx>
        <w:trPr>
          <w:cantSplit/>
          <w:trHeight w:val="514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46426F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A58C86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固体废物和危险废物污染防治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EDE3AE4">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宿城生态环境局</w:t>
            </w:r>
          </w:p>
          <w:p w14:paraId="479FA03B">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宿城区工业和</w:t>
            </w:r>
          </w:p>
          <w:p w14:paraId="6D49C7F7">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信息化局</w:t>
            </w:r>
          </w:p>
          <w:p w14:paraId="63AD8720">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宿迁市自然资源和规划局宿城分局</w:t>
            </w:r>
          </w:p>
          <w:p w14:paraId="743D22CD">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宿城区商务局</w:t>
            </w:r>
          </w:p>
          <w:p w14:paraId="79F02D24">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8B6F7B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生态环境局负责固体废物污染防治的统一监督管理。规范固体废物处理处置行为；督促企业执行危险废物年度管理计划、申报登记、转移联单等管理制度；统筹协调危险废物的利用处置途径，压缩暂存周期，消除风险隐患；加强医疗废物监管，监督医疗废物及时、有序、高效、无害化处置；严格废弃危险化学品管理；对不明属性固体废物的危险特性进行鉴别鉴定；打击危险废物非法倾倒、填埋和非法处置等环境违法行为；组织实施固废污染防治政策、规划和计划。</w:t>
            </w:r>
          </w:p>
          <w:p w14:paraId="5D0EF661">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.宿城区工业和信息化局负责淘汰产生严重污染环境的工业固体废物的落后用能产品、生产工艺、设备的名录实施。</w:t>
            </w:r>
          </w:p>
          <w:p w14:paraId="3334E89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.宿迁市自然资源和规划局宿城分局负责编制国土空间规划和相关专项规划时，统筹危险废物转运、集中处置等设施建设需求。</w:t>
            </w:r>
          </w:p>
          <w:p w14:paraId="08D0B22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4</w:t>
            </w:r>
            <w:r>
              <w:rPr>
                <w:rFonts w:hint="default" w:ascii="Times New Roman" w:hAnsi="Times New Roman" w:eastAsia="方正仿宋_GBK" w:cs="Times New Roman"/>
                <w:color w:val="auto"/>
                <w:kern w:val="0"/>
                <w:szCs w:val="21"/>
                <w:highlight w:val="none"/>
              </w:rPr>
              <w:t>.宿城区商务局负责逐步实现全面禁止洋垃圾进口。</w:t>
            </w:r>
          </w:p>
          <w:p w14:paraId="7653C270">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w:t>
            </w:r>
            <w:r>
              <w:rPr>
                <w:rFonts w:hint="default" w:ascii="Times New Roman" w:hAnsi="Times New Roman" w:eastAsia="方正仿宋_GBK" w:cs="Times New Roman"/>
                <w:color w:val="auto"/>
                <w:kern w:val="0"/>
                <w:szCs w:val="21"/>
                <w:highlight w:val="none"/>
              </w:rPr>
              <w:t>.宿城区卫生健康局负责督促指导医疗卫生机构依法分类收集本单位产生的医疗废物，交由医疗废物集中处置单位处置；依法履行医疗废物污染防治的相关应急处置工作。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B44221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1.加强防治固体废物污染环境的宣传教育，倡导有利于环境保护的生产方式和生活方式。</w:t>
            </w:r>
          </w:p>
          <w:p w14:paraId="0D014C8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2.开展废渣污染日常巡查和现场监管，及时制止、处置固体废物污染和生态破坏行为，涉嫌环境违法犯罪的，及时上报。</w:t>
            </w:r>
          </w:p>
          <w:p w14:paraId="4A5B9FE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3.配合开展危险废物、一般工业固废规范化管理等专项整治工作。</w:t>
            </w:r>
          </w:p>
          <w:p w14:paraId="52CA86D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4.调处涉及固废污染方面的初信初访和矛盾纠纷。</w:t>
            </w:r>
          </w:p>
          <w:p w14:paraId="2B639A6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5.协助上级协商解决跨行政区域的固体废物环境污染和生态破坏的防治。</w:t>
            </w:r>
          </w:p>
          <w:p w14:paraId="211983E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6.加强对农村生活垃圾清扫、收集、转运的组织实施工作。</w:t>
            </w:r>
          </w:p>
        </w:tc>
      </w:tr>
      <w:tr w14:paraId="3B005375">
        <w:tblPrEx>
          <w:tblCellMar>
            <w:top w:w="0" w:type="dxa"/>
            <w:left w:w="108" w:type="dxa"/>
            <w:bottom w:w="0" w:type="dxa"/>
            <w:right w:w="108" w:type="dxa"/>
          </w:tblCellMar>
        </w:tblPrEx>
        <w:trPr>
          <w:cantSplit/>
          <w:trHeight w:val="310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B600E5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E7F0C6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推进“散乱污”企业综合整治，落实企业错峰生产要求</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738C72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宿城区工业和</w:t>
            </w:r>
          </w:p>
          <w:p w14:paraId="00D781A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信息化局</w:t>
            </w:r>
          </w:p>
          <w:p w14:paraId="401E627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1ABD7254">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宿城区城市管理局</w:t>
            </w:r>
          </w:p>
          <w:p w14:paraId="4B69EBC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宿城区市场监督管理局等</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1EA6F4B">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w:t>
            </w:r>
            <w:r>
              <w:rPr>
                <w:rFonts w:hint="default" w:ascii="Times New Roman" w:hAnsi="Times New Roman" w:eastAsia="方正仿宋_GBK" w:cs="Times New Roman"/>
                <w:color w:val="auto"/>
                <w:kern w:val="0"/>
                <w:szCs w:val="21"/>
                <w:highlight w:val="none"/>
              </w:rPr>
              <w:t>宿城区工业和信息化局</w:t>
            </w:r>
            <w:r>
              <w:rPr>
                <w:rFonts w:hint="default" w:ascii="Times New Roman" w:hAnsi="Times New Roman" w:eastAsia="方正仿宋_GBK" w:cs="Times New Roman"/>
                <w:bCs/>
                <w:color w:val="auto"/>
                <w:kern w:val="0"/>
                <w:szCs w:val="21"/>
                <w:highlight w:val="none"/>
              </w:rPr>
              <w:t>负责统筹推进“散乱污”企业综合整治工作，清理企业违法违规产能，</w:t>
            </w:r>
            <w:r>
              <w:rPr>
                <w:rFonts w:hint="default" w:ascii="Times New Roman" w:hAnsi="Times New Roman" w:eastAsia="方正仿宋_GBK" w:cs="Times New Roman"/>
                <w:bCs/>
                <w:color w:val="auto"/>
                <w:kern w:val="0"/>
                <w:szCs w:val="21"/>
                <w:highlight w:val="none"/>
                <w:lang w:eastAsia="zh-CN"/>
              </w:rPr>
              <w:t>组织、指导乡镇（街道）排查不符合产业政策的企业</w:t>
            </w:r>
            <w:r>
              <w:rPr>
                <w:rFonts w:hint="default" w:ascii="Times New Roman" w:hAnsi="Times New Roman" w:eastAsia="方正仿宋_GBK" w:cs="Times New Roman"/>
                <w:bCs/>
                <w:color w:val="auto"/>
                <w:kern w:val="0"/>
                <w:szCs w:val="21"/>
                <w:highlight w:val="none"/>
              </w:rPr>
              <w:t>，落实企业错峰生产。</w:t>
            </w:r>
          </w:p>
          <w:p w14:paraId="28FB6887">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2.宿城生态环境局负责对造成环境污染、噪声污染、大气污染，设置入河排污口等行为的企业进行查处。</w:t>
            </w:r>
          </w:p>
          <w:p w14:paraId="48FEFB0E">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3</w:t>
            </w:r>
            <w:r>
              <w:rPr>
                <w:rFonts w:hint="default" w:ascii="Times New Roman" w:hAnsi="Times New Roman" w:eastAsia="方正仿宋_GBK" w:cs="Times New Roman"/>
                <w:bCs/>
                <w:color w:val="auto"/>
                <w:kern w:val="0"/>
                <w:szCs w:val="21"/>
                <w:highlight w:val="none"/>
              </w:rPr>
              <w:t>.</w:t>
            </w:r>
            <w:r>
              <w:rPr>
                <w:rFonts w:hint="default" w:ascii="Times New Roman" w:hAnsi="Times New Roman" w:eastAsia="方正仿宋_GBK" w:cs="Times New Roman"/>
                <w:color w:val="auto"/>
                <w:kern w:val="0"/>
                <w:szCs w:val="21"/>
                <w:highlight w:val="none"/>
              </w:rPr>
              <w:t>宿城区市场监督管理局</w:t>
            </w:r>
            <w:r>
              <w:rPr>
                <w:rFonts w:hint="default" w:ascii="Times New Roman" w:hAnsi="Times New Roman" w:eastAsia="方正仿宋_GBK" w:cs="Times New Roman"/>
                <w:bCs/>
                <w:color w:val="auto"/>
                <w:kern w:val="0"/>
                <w:szCs w:val="21"/>
                <w:highlight w:val="none"/>
              </w:rPr>
              <w:t>负责组织开展打击无证无照、证照不全的“散乱污”企业，加强对“散乱污”生产企业产品质量监管，查处产品质量违法行为。</w:t>
            </w:r>
          </w:p>
          <w:p w14:paraId="492F636D">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w:t>
            </w:r>
            <w:r>
              <w:rPr>
                <w:rFonts w:hint="default" w:ascii="Times New Roman" w:hAnsi="Times New Roman" w:eastAsia="方正仿宋_GBK" w:cs="Times New Roman"/>
                <w:bCs/>
                <w:color w:val="auto"/>
                <w:kern w:val="0"/>
                <w:szCs w:val="21"/>
                <w:highlight w:val="none"/>
              </w:rPr>
              <w:t>.</w:t>
            </w:r>
            <w:r>
              <w:rPr>
                <w:rFonts w:hint="default" w:ascii="Times New Roman" w:hAnsi="Times New Roman" w:eastAsia="方正仿宋_GBK" w:cs="Times New Roman"/>
                <w:color w:val="auto"/>
                <w:kern w:val="0"/>
                <w:szCs w:val="21"/>
                <w:highlight w:val="none"/>
              </w:rPr>
              <w:t>宿城区城市管理局</w:t>
            </w:r>
            <w:r>
              <w:rPr>
                <w:rFonts w:hint="default" w:ascii="Times New Roman" w:hAnsi="Times New Roman" w:eastAsia="方正仿宋_GBK" w:cs="Times New Roman"/>
                <w:bCs/>
                <w:color w:val="auto"/>
                <w:kern w:val="0"/>
                <w:szCs w:val="21"/>
                <w:highlight w:val="none"/>
              </w:rPr>
              <w:t>负责开展 “散乱污”企业涉及的违法违章建（构）筑物的拆除工作以及违章占道生产经营活动的综合整治工作。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2F20D0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1.协助开展辖区内“散乱污”企业排查工作。</w:t>
            </w:r>
          </w:p>
          <w:p w14:paraId="7C802CE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2.对于违法违规行为，督促企业自行整改，对拒不整改或整改不到位的，采取临时性先期处置措施，并上报有关部门。</w:t>
            </w:r>
          </w:p>
          <w:p w14:paraId="4362DA3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3.配合相关部门拆除违法建筑。</w:t>
            </w:r>
          </w:p>
        </w:tc>
      </w:tr>
      <w:tr w14:paraId="2B05B7E7">
        <w:tblPrEx>
          <w:tblCellMar>
            <w:top w:w="0" w:type="dxa"/>
            <w:left w:w="108" w:type="dxa"/>
            <w:bottom w:w="0" w:type="dxa"/>
            <w:right w:w="108" w:type="dxa"/>
          </w:tblCellMar>
        </w:tblPrEx>
        <w:trPr>
          <w:cantSplit/>
          <w:trHeight w:val="246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411C6E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68A6F0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生态空间巡查管控和受损生态系统修复</w:t>
            </w:r>
            <w:r>
              <w:rPr>
                <w:rFonts w:hint="default" w:ascii="Times New Roman" w:hAnsi="Times New Roman" w:eastAsia="方正仿宋_GBK" w:cs="Times New Roman"/>
                <w:bCs/>
                <w:color w:val="auto"/>
                <w:kern w:val="0"/>
                <w:szCs w:val="21"/>
                <w:highlight w:val="none"/>
                <w:lang w:val="en-US" w:eastAsia="zh-CN"/>
              </w:rPr>
              <w:t>赔偿</w:t>
            </w:r>
            <w:r>
              <w:rPr>
                <w:rFonts w:hint="default" w:ascii="Times New Roman" w:hAnsi="Times New Roman" w:eastAsia="方正仿宋_GBK" w:cs="Times New Roman"/>
                <w:bCs/>
                <w:color w:val="auto"/>
                <w:kern w:val="0"/>
                <w:szCs w:val="21"/>
                <w:highlight w:val="none"/>
              </w:rPr>
              <w:t>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DDB2E3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CFE99C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1.建立和完善综合监测监管网络体系，建立监督执法制度，构建常态化执法机制，定期开展执法督查，对疑似破坏生态空间管控区域问题进行现场核查，对存在非法占用生态空间管控区的督促整改。</w:t>
            </w:r>
          </w:p>
          <w:p w14:paraId="2845C55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2.加强生态保护地巡查，发现非法占用自然保护地的立即制止。</w:t>
            </w:r>
          </w:p>
          <w:p w14:paraId="5C79AE1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3.通知被环保处罚企业开展生态环境损害赔偿，指导帮助企业按流程开展赔偿修复工作。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7D8E78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1.对本地区生态空间管控区域开展日常巡查，发现问题线索及时上报。</w:t>
            </w:r>
          </w:p>
          <w:p w14:paraId="1B20F6E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w:t>
            </w:r>
            <w:r>
              <w:rPr>
                <w:rFonts w:hint="default" w:ascii="Times New Roman" w:hAnsi="Times New Roman" w:eastAsia="方正仿宋_GBK" w:cs="Times New Roman"/>
                <w:bCs/>
                <w:color w:val="auto"/>
                <w:kern w:val="0"/>
                <w:szCs w:val="21"/>
                <w:highlight w:val="none"/>
                <w:lang w:val="en-US" w:eastAsia="zh-CN"/>
              </w:rPr>
              <w:t>开展生态环境损害赔偿政策宣传，</w:t>
            </w:r>
            <w:r>
              <w:rPr>
                <w:rFonts w:hint="default" w:ascii="Times New Roman" w:hAnsi="Times New Roman" w:eastAsia="方正仿宋_GBK" w:cs="Times New Roman"/>
                <w:bCs/>
                <w:color w:val="auto"/>
                <w:kern w:val="0"/>
                <w:szCs w:val="21"/>
                <w:highlight w:val="none"/>
              </w:rPr>
              <w:t>配合做好辖区内受损生态系统修复</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损害赔偿</w:t>
            </w:r>
            <w:r>
              <w:rPr>
                <w:rFonts w:hint="default" w:ascii="Times New Roman" w:hAnsi="Times New Roman" w:eastAsia="方正仿宋_GBK" w:cs="Times New Roman"/>
                <w:bCs/>
                <w:color w:val="auto"/>
                <w:kern w:val="0"/>
                <w:szCs w:val="21"/>
                <w:highlight w:val="none"/>
              </w:rPr>
              <w:t>工作。</w:t>
            </w:r>
          </w:p>
        </w:tc>
      </w:tr>
      <w:tr w14:paraId="72DCD892">
        <w:tblPrEx>
          <w:tblCellMar>
            <w:top w:w="0" w:type="dxa"/>
            <w:left w:w="108" w:type="dxa"/>
            <w:bottom w:w="0" w:type="dxa"/>
            <w:right w:w="108" w:type="dxa"/>
          </w:tblCellMar>
        </w:tblPrEx>
        <w:trPr>
          <w:cantSplit/>
          <w:trHeight w:val="166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ABAD28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83A175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开展噪音污染排查治理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E3A48E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E1BE84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1.负责将噪声污染纳入国土空间规划和相关规划环境影响评价，建立常态化工作指导机制，防止、减轻噪声污染。</w:t>
            </w:r>
          </w:p>
          <w:p w14:paraId="7776981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2.设置声环境质量监测站（点），开展声环境质量监测，定期向社会公布声环境质量状况信息。</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A2B713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1.开展噪声污染防治法律法规和知识的宣传，引导群众参与噪声污染防治工作。</w:t>
            </w:r>
          </w:p>
          <w:p w14:paraId="51EE967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2.开展辖区内噪音污染源排查工作，协助做好噪音程度减轻、源头消除工作。</w:t>
            </w:r>
          </w:p>
        </w:tc>
      </w:tr>
      <w:tr w14:paraId="64B85D11">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08EA25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六、城乡建设（5项）</w:t>
            </w:r>
          </w:p>
        </w:tc>
      </w:tr>
      <w:tr w14:paraId="330E343E">
        <w:tblPrEx>
          <w:tblCellMar>
            <w:top w:w="0" w:type="dxa"/>
            <w:left w:w="108" w:type="dxa"/>
            <w:bottom w:w="0" w:type="dxa"/>
            <w:right w:w="108" w:type="dxa"/>
          </w:tblCellMar>
        </w:tblPrEx>
        <w:trPr>
          <w:cantSplit/>
          <w:trHeight w:val="154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AFC147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color w:val="auto"/>
                <w:kern w:val="0"/>
                <w:szCs w:val="21"/>
                <w:highlight w:val="none"/>
                <w:lang w:val="en-US" w:eastAsia="zh-CN"/>
              </w:rPr>
            </w:pPr>
            <w:r>
              <w:rPr>
                <w:rFonts w:hint="default" w:ascii="Times New Roman" w:hAnsi="Times New Roman" w:eastAsia="方正仿宋_GBK" w:cs="Times New Roman"/>
                <w:bCs/>
                <w:color w:val="auto"/>
                <w:kern w:val="0"/>
                <w:szCs w:val="21"/>
                <w:highlight w:val="none"/>
                <w:lang w:val="en-US" w:eastAsia="zh-CN"/>
              </w:rPr>
              <w:t>37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83234F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000000"/>
                <w:kern w:val="0"/>
                <w:szCs w:val="21"/>
                <w:highlight w:val="none"/>
                <w:lang w:val="en-US" w:eastAsia="zh-CN" w:bidi="ar"/>
              </w:rPr>
              <w:t>对城乡建设与市容管理领域违法违规行为的查处</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5A29092">
            <w:pPr>
              <w:keepNext w:val="0"/>
              <w:keepLines w:val="0"/>
              <w:pageBreakBefore w:val="0"/>
              <w:widowControl/>
              <w:kinsoku/>
              <w:wordWrap/>
              <w:overflowPunct/>
              <w:topLinePunct w:val="0"/>
              <w:autoSpaceDE w:val="0"/>
              <w:autoSpaceDN w:val="0"/>
              <w:bidi w:val="0"/>
              <w:adjustRightInd w:val="0"/>
              <w:snapToGrid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lang w:val="en-US" w:eastAsia="zh-CN" w:bidi="ar"/>
              </w:rPr>
            </w:pPr>
            <w:r>
              <w:rPr>
                <w:rFonts w:hint="default" w:ascii="Times New Roman" w:hAnsi="Times New Roman" w:eastAsia="方正仿宋_GBK" w:cs="Times New Roman"/>
                <w:snapToGrid w:val="0"/>
                <w:color w:val="auto"/>
                <w:spacing w:val="-6"/>
                <w:kern w:val="0"/>
                <w:sz w:val="21"/>
                <w:szCs w:val="21"/>
                <w:lang w:val="en-US" w:eastAsia="zh-CN" w:bidi="ar"/>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6A2008E">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000000"/>
                <w:kern w:val="0"/>
                <w:szCs w:val="21"/>
                <w:highlight w:val="none"/>
                <w:lang w:val="en-US" w:eastAsia="zh-CN" w:bidi="ar"/>
              </w:rPr>
              <w:t>组织开展对涉及工程规划建设、违法临时建筑、占道经营、污染路面、违规设置户外广告以及无照经营行为的专项治理工作，依法对违法违规行为进行处罚，限期责令当事人做好问题整改。</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D58EB70">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000000"/>
                <w:kern w:val="0"/>
                <w:szCs w:val="21"/>
                <w:highlight w:val="none"/>
                <w:lang w:val="en-US" w:eastAsia="zh-CN" w:bidi="ar"/>
              </w:rPr>
              <w:t>对辖区内相关违法案件配合开展调查、送达等工作。</w:t>
            </w:r>
          </w:p>
        </w:tc>
      </w:tr>
      <w:tr w14:paraId="4D9A9688">
        <w:tblPrEx>
          <w:tblCellMar>
            <w:top w:w="0" w:type="dxa"/>
            <w:left w:w="108" w:type="dxa"/>
            <w:bottom w:w="0" w:type="dxa"/>
            <w:right w:w="108" w:type="dxa"/>
          </w:tblCellMar>
        </w:tblPrEx>
        <w:trPr>
          <w:cantSplit/>
          <w:trHeight w:val="177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7352B3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color w:val="auto"/>
                <w:kern w:val="0"/>
                <w:szCs w:val="21"/>
                <w:highlight w:val="none"/>
                <w:lang w:val="en-US" w:eastAsia="zh-CN"/>
              </w:rPr>
            </w:pPr>
            <w:r>
              <w:rPr>
                <w:rFonts w:hint="default" w:ascii="Times New Roman" w:hAnsi="Times New Roman" w:eastAsia="方正仿宋_GBK" w:cs="Times New Roman"/>
                <w:bCs/>
                <w:color w:val="auto"/>
                <w:kern w:val="0"/>
                <w:szCs w:val="21"/>
                <w:highlight w:val="none"/>
                <w:lang w:val="en-US" w:eastAsia="zh-CN"/>
              </w:rPr>
              <w:t>38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3CE32D5">
            <w:pPr>
              <w:keepNext w:val="0"/>
              <w:keepLines w:val="0"/>
              <w:pageBreakBefore w:val="0"/>
              <w:widowControl/>
              <w:kinsoku/>
              <w:wordWrap/>
              <w:overflowPunct/>
              <w:topLinePunct w:val="0"/>
              <w:autoSpaceDE w:val="0"/>
              <w:autoSpaceDN w:val="0"/>
              <w:bidi w:val="0"/>
              <w:adjustRightInd w:val="0"/>
              <w:snapToGrid w:val="0"/>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环卫</w:t>
            </w:r>
            <w:r>
              <w:rPr>
                <w:rFonts w:hint="default" w:ascii="Times New Roman" w:hAnsi="Times New Roman" w:eastAsia="方正仿宋_GBK" w:cs="Times New Roman"/>
                <w:snapToGrid w:val="0"/>
                <w:color w:val="auto"/>
                <w:kern w:val="0"/>
                <w:szCs w:val="21"/>
                <w:lang w:eastAsia="zh-CN" w:bidi="ar"/>
              </w:rPr>
              <w:t>设施</w:t>
            </w:r>
            <w:r>
              <w:rPr>
                <w:rFonts w:hint="default" w:ascii="Times New Roman" w:hAnsi="Times New Roman" w:eastAsia="方正仿宋_GBK" w:cs="Times New Roman"/>
                <w:snapToGrid w:val="0"/>
                <w:color w:val="auto"/>
                <w:kern w:val="0"/>
                <w:szCs w:val="21"/>
                <w:lang w:val="en-US" w:eastAsia="zh-CN" w:bidi="ar"/>
              </w:rPr>
              <w:t>配套建设的监督管理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E98F6EC">
            <w:pPr>
              <w:keepNext w:val="0"/>
              <w:keepLines w:val="0"/>
              <w:pageBreakBefore w:val="0"/>
              <w:widowControl/>
              <w:kinsoku/>
              <w:wordWrap/>
              <w:overflowPunct/>
              <w:topLinePunct w:val="0"/>
              <w:autoSpaceDE w:val="0"/>
              <w:autoSpaceDN w:val="0"/>
              <w:bidi w:val="0"/>
              <w:adjustRightInd w:val="0"/>
              <w:snapToGrid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lang w:val="en-US" w:eastAsia="zh-CN" w:bidi="ar"/>
              </w:rPr>
            </w:pPr>
            <w:r>
              <w:rPr>
                <w:rFonts w:hint="default" w:ascii="Times New Roman" w:hAnsi="Times New Roman" w:eastAsia="方正仿宋_GBK" w:cs="Times New Roman"/>
                <w:snapToGrid w:val="0"/>
                <w:color w:val="auto"/>
                <w:spacing w:val="-6"/>
                <w:kern w:val="0"/>
                <w:sz w:val="21"/>
                <w:szCs w:val="21"/>
                <w:lang w:val="en-US" w:eastAsia="zh-CN" w:bidi="ar"/>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C9EB1DF">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1.建立巡查联动机制，对相关责任区域市容环卫责任人不明确的情况进行调查确认，并告知督促相关责任主体履责。</w:t>
            </w:r>
          </w:p>
          <w:p w14:paraId="6A61248D">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2.负责对不按照规定配建环卫设施的单位代为建设环卫设施，由相关责任单位承担建设费用。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CB0EDE0">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对辖区内存在的不按照规定配建环卫设施</w:t>
            </w:r>
            <w:r>
              <w:rPr>
                <w:rFonts w:hint="default" w:ascii="Times New Roman" w:hAnsi="Times New Roman" w:eastAsia="方正仿宋_GBK" w:cs="Times New Roman"/>
                <w:snapToGrid w:val="0"/>
                <w:color w:val="auto"/>
                <w:kern w:val="0"/>
                <w:szCs w:val="21"/>
                <w:lang w:val="en-US" w:eastAsia="zh-CN" w:bidi="ar"/>
              </w:rPr>
              <w:t>的问题</w:t>
            </w:r>
            <w:r>
              <w:rPr>
                <w:rFonts w:hint="default" w:ascii="Times New Roman" w:hAnsi="Times New Roman" w:eastAsia="方正仿宋_GBK" w:cs="Times New Roman"/>
                <w:snapToGrid w:val="0"/>
                <w:color w:val="auto"/>
                <w:kern w:val="0"/>
                <w:szCs w:val="21"/>
                <w:lang w:eastAsia="zh-CN" w:bidi="ar"/>
              </w:rPr>
              <w:t>，配合开展调查、送达、</w:t>
            </w:r>
            <w:r>
              <w:rPr>
                <w:rFonts w:hint="default" w:ascii="Times New Roman" w:hAnsi="Times New Roman" w:eastAsia="方正仿宋_GBK" w:cs="Times New Roman"/>
                <w:snapToGrid w:val="0"/>
                <w:color w:val="auto"/>
                <w:kern w:val="0"/>
                <w:szCs w:val="21"/>
                <w:lang w:val="en-US" w:eastAsia="zh-CN" w:bidi="ar"/>
              </w:rPr>
              <w:t>调解</w:t>
            </w:r>
            <w:r>
              <w:rPr>
                <w:rFonts w:hint="default" w:ascii="Times New Roman" w:hAnsi="Times New Roman" w:eastAsia="方正仿宋_GBK" w:cs="Times New Roman"/>
                <w:snapToGrid w:val="0"/>
                <w:color w:val="auto"/>
                <w:kern w:val="0"/>
                <w:szCs w:val="21"/>
                <w:lang w:eastAsia="zh-CN" w:bidi="ar"/>
              </w:rPr>
              <w:t>等工作。</w:t>
            </w:r>
          </w:p>
        </w:tc>
      </w:tr>
      <w:tr w14:paraId="7CE73720">
        <w:tblPrEx>
          <w:tblCellMar>
            <w:top w:w="0" w:type="dxa"/>
            <w:left w:w="108" w:type="dxa"/>
            <w:bottom w:w="0" w:type="dxa"/>
            <w:right w:w="108" w:type="dxa"/>
          </w:tblCellMar>
        </w:tblPrEx>
        <w:trPr>
          <w:cantSplit/>
          <w:trHeight w:val="135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CFA567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napToGrid w:val="0"/>
                <w:color w:val="auto"/>
                <w:kern w:val="0"/>
                <w:sz w:val="21"/>
                <w:szCs w:val="21"/>
                <w:highlight w:val="none"/>
                <w:lang w:val="en-US" w:eastAsia="zh-CN" w:bidi="ar-SA"/>
              </w:rPr>
              <w:t>39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532391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人防工程建设与使用情况监管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EF5F85C">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06561A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负责人防工程维护和使用的监督管理，明确相关工作管理实施标准，依法查处相关违法违规行为。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EC73E9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1.对人防工程开展日常巡查，针对违法违规行为及时上报。</w:t>
            </w:r>
          </w:p>
          <w:p w14:paraId="125FAF3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2.参与调解辖区内住宅区人防工程平时使用和维护管理中出现的矛盾纠纷。</w:t>
            </w:r>
          </w:p>
        </w:tc>
      </w:tr>
      <w:tr w14:paraId="1A22CDC0">
        <w:tblPrEx>
          <w:tblCellMar>
            <w:top w:w="0" w:type="dxa"/>
            <w:left w:w="108" w:type="dxa"/>
            <w:bottom w:w="0" w:type="dxa"/>
            <w:right w:w="108" w:type="dxa"/>
          </w:tblCellMar>
        </w:tblPrEx>
        <w:trPr>
          <w:cantSplit/>
          <w:trHeight w:val="111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B301B6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56429E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城镇排水和污水处理情况监管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82F402C">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0A4354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负责城镇排水与污水处理的监督管理工作，明确相关工作管理标准，共享相关数据。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9CD1CE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1.配合宣传雨污水排放政策。</w:t>
            </w:r>
          </w:p>
          <w:p w14:paraId="1A7F46A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2.开展雨污水排放日常巡查，对雨污水排放违法违规事件进行先期处置并及时上报。</w:t>
            </w:r>
          </w:p>
        </w:tc>
      </w:tr>
      <w:tr w14:paraId="74108368">
        <w:tblPrEx>
          <w:tblCellMar>
            <w:top w:w="0" w:type="dxa"/>
            <w:left w:w="108" w:type="dxa"/>
            <w:bottom w:w="0" w:type="dxa"/>
            <w:right w:w="108" w:type="dxa"/>
          </w:tblCellMar>
        </w:tblPrEx>
        <w:trPr>
          <w:cantSplit/>
          <w:trHeight w:val="100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3457DD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805B9A1">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推广应用新型墙体材料、散装水泥</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87D61E8">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8D06C92">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负责对新型墙体材料、散装水泥的发展与监督管理，共享相关数据，明确相关工作管理标准。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AE70EF5">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1.宣传、推广应用新型墙体材料和散装水泥。</w:t>
            </w:r>
          </w:p>
          <w:p w14:paraId="02EB280F">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2.引导和支持辖区居民使用新型墙体材料。</w:t>
            </w:r>
          </w:p>
        </w:tc>
      </w:tr>
      <w:tr w14:paraId="1C9CC07D">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EEF9A9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七、商贸流通（2项）</w:t>
            </w:r>
          </w:p>
        </w:tc>
      </w:tr>
      <w:tr w14:paraId="6642E694">
        <w:tblPrEx>
          <w:tblCellMar>
            <w:top w:w="0" w:type="dxa"/>
            <w:left w:w="108" w:type="dxa"/>
            <w:bottom w:w="0" w:type="dxa"/>
            <w:right w:w="108" w:type="dxa"/>
          </w:tblCellMar>
        </w:tblPrEx>
        <w:trPr>
          <w:cantSplit/>
          <w:trHeight w:val="142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6A4FC4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67D1CC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开展粮食</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蔬菜等重要农产品</w:t>
            </w:r>
            <w:r>
              <w:rPr>
                <w:rFonts w:hint="default" w:ascii="Times New Roman" w:hAnsi="Times New Roman" w:eastAsia="方正仿宋_GBK" w:cs="Times New Roman"/>
                <w:color w:val="auto"/>
                <w:kern w:val="0"/>
                <w:szCs w:val="21"/>
                <w:highlight w:val="none"/>
              </w:rPr>
              <w:t>稳产保供工作，促进绿色农产品发展</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EF08DC3">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宿城区农业农村局</w:t>
            </w:r>
          </w:p>
          <w:p w14:paraId="07A2278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宿城区统计局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BBDCEC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1.做好粮食测产点日常生产管理和监测工作。</w:t>
            </w:r>
          </w:p>
          <w:p w14:paraId="492C6B9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2.开展全区绿色食品、有机食品及绿优基地情况统计。</w:t>
            </w:r>
          </w:p>
          <w:p w14:paraId="57637E6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3.蔬果基地生产情况调度和技术指导工作，稳定蔬果面积，保障蔬果稳定供应。</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75EA2C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1.监测辖区内粮食测产点运行情况，开展超标粮食定点收购、分类储存、定向销售等工作。</w:t>
            </w:r>
          </w:p>
          <w:p w14:paraId="532E8AA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2.排查统计辖区绿色食品、有机食品及绿优基地情况。</w:t>
            </w:r>
          </w:p>
          <w:p w14:paraId="447DA65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
                <w:snapToGrid w:val="0"/>
                <w:color w:val="auto"/>
                <w:kern w:val="0"/>
                <w:sz w:val="32"/>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3.开展绿色蔬果保供基地建设。</w:t>
            </w:r>
          </w:p>
        </w:tc>
      </w:tr>
      <w:tr w14:paraId="40882AA4">
        <w:tblPrEx>
          <w:tblCellMar>
            <w:top w:w="0" w:type="dxa"/>
            <w:left w:w="108" w:type="dxa"/>
            <w:bottom w:w="0" w:type="dxa"/>
            <w:right w:w="108" w:type="dxa"/>
          </w:tblCellMar>
        </w:tblPrEx>
        <w:trPr>
          <w:cantSplit/>
          <w:trHeight w:val="226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1AE9FE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FAD0E8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批零住餐企业补贴申报、入规纳统、预付卡管理和老字号申报工作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FAD5A4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宿城区商务局</w:t>
            </w:r>
          </w:p>
          <w:p w14:paraId="4482113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7C15B9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1.宿城区商务局负责开展企业</w:t>
            </w:r>
            <w:r>
              <w:rPr>
                <w:rFonts w:hint="default" w:ascii="Times New Roman" w:hAnsi="Times New Roman" w:eastAsia="方正仿宋_GBK" w:cs="Times New Roman"/>
                <w:color w:val="auto"/>
                <w:kern w:val="0"/>
                <w:szCs w:val="21"/>
                <w:highlight w:val="none"/>
                <w:lang w:eastAsia="zh-CN"/>
              </w:rPr>
              <w:t>入规纳统</w:t>
            </w:r>
            <w:r>
              <w:rPr>
                <w:rFonts w:hint="default" w:ascii="Times New Roman" w:hAnsi="Times New Roman" w:eastAsia="方正仿宋_GBK" w:cs="Times New Roman"/>
                <w:color w:val="auto"/>
                <w:kern w:val="0"/>
                <w:szCs w:val="21"/>
                <w:highlight w:val="none"/>
              </w:rPr>
              <w:t>、项目招引等工作，做好老字号企业保护与创新发展。</w:t>
            </w:r>
          </w:p>
          <w:p w14:paraId="2DD6CC8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2.宿城区商务局负责开展单用途预付卡管理工作，引导发卡企业按照要求备案，督促检查发卡企业落实“三项制度”情况。</w:t>
            </w:r>
          </w:p>
          <w:p w14:paraId="29521EF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3.宿城区商务局会同宿城区市场监督管理局开展消费促进工作，做好行业发展政策申报工作。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3ABF96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1.做好宣传引导，协助辖区内批零住餐企业申报奖补资金。</w:t>
            </w:r>
          </w:p>
          <w:p w14:paraId="087B0F0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2.引导优质批零住餐企业入规纳统，招引批零住餐项目。</w:t>
            </w:r>
          </w:p>
          <w:p w14:paraId="237456C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3.挖掘本地老字号资源，做好国家、省、市级老字号申请材料的受理和转报。</w:t>
            </w:r>
          </w:p>
          <w:p w14:paraId="71AF0C9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4.配合开展辖区内发卡企业摸排工作，调解预付卡消费纠纷。</w:t>
            </w:r>
          </w:p>
        </w:tc>
      </w:tr>
      <w:tr w14:paraId="6A6DC348">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8D8E77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八、应急管理及消防（5项）</w:t>
            </w:r>
          </w:p>
        </w:tc>
      </w:tr>
      <w:tr w14:paraId="5AD6EED5">
        <w:tblPrEx>
          <w:tblCellMar>
            <w:top w:w="0" w:type="dxa"/>
            <w:left w:w="108" w:type="dxa"/>
            <w:bottom w:w="0" w:type="dxa"/>
            <w:right w:w="108" w:type="dxa"/>
          </w:tblCellMar>
        </w:tblPrEx>
        <w:trPr>
          <w:cantSplit/>
          <w:trHeight w:val="75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EE776A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FB756D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应急管理工作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E4B0A2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宿城区应急管理局</w:t>
            </w:r>
          </w:p>
          <w:p w14:paraId="6E3DED05">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宿城区商务局</w:t>
            </w:r>
          </w:p>
          <w:p w14:paraId="232FDF77">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宿城区市场监督</w:t>
            </w:r>
          </w:p>
          <w:p w14:paraId="553A8586">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管理局</w:t>
            </w:r>
          </w:p>
          <w:p w14:paraId="580786C5">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宿城区交通运输局</w:t>
            </w:r>
          </w:p>
          <w:p w14:paraId="34826084">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宿城区工业和</w:t>
            </w:r>
          </w:p>
          <w:p w14:paraId="753E637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信息化局</w:t>
            </w:r>
          </w:p>
          <w:p w14:paraId="42AFB21C">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宿城区住房和城乡建设局</w:t>
            </w:r>
          </w:p>
          <w:p w14:paraId="2A0F1E18">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宿城区水利局</w:t>
            </w:r>
          </w:p>
          <w:p w14:paraId="2E1BDDA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宿城区城市管理局</w:t>
            </w:r>
          </w:p>
          <w:p w14:paraId="009381B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宿迁市公安局</w:t>
            </w:r>
          </w:p>
          <w:p w14:paraId="6D129AD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7FC6E54">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1.负责安全生产综合监督管理，指导协调、监督检查区有关部门、单位和各园区（镇、街道）安全生产工作。</w:t>
            </w:r>
          </w:p>
          <w:p w14:paraId="26BA1142">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2.按照分级、属地原则，依法开展安全生产监察执法工作，依法查处违法违规行为。依法组织并指导监督实施安全生产准入制度。</w:t>
            </w:r>
          </w:p>
          <w:p w14:paraId="7AB284B0">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3.</w:t>
            </w:r>
            <w:r>
              <w:rPr>
                <w:rFonts w:hint="default" w:ascii="Times New Roman" w:hAnsi="Times New Roman" w:eastAsia="方正仿宋_GBK" w:cs="Times New Roman"/>
                <w:bCs/>
                <w:color w:val="auto"/>
                <w:kern w:val="0"/>
                <w:szCs w:val="21"/>
                <w:highlight w:val="none"/>
                <w:lang w:eastAsia="zh-CN"/>
              </w:rPr>
              <w:t>依法组织指导生产安全事故调查处理，</w:t>
            </w:r>
            <w:r>
              <w:rPr>
                <w:rFonts w:hint="default" w:ascii="Times New Roman" w:hAnsi="Times New Roman" w:eastAsia="方正仿宋_GBK" w:cs="Times New Roman"/>
                <w:bCs/>
                <w:color w:val="auto"/>
                <w:kern w:val="0"/>
                <w:szCs w:val="21"/>
                <w:highlight w:val="none"/>
              </w:rPr>
              <w:t>监督事故查处和责任追究落实情况。根据区政府授权，依法组织对生产安全事故开展调查处理。</w:t>
            </w:r>
          </w:p>
          <w:p w14:paraId="2581CF5B">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4.负责应急管理工作，组织编制区应急体系建设、安全生产和综合防灾减灾规划。</w:t>
            </w:r>
          </w:p>
          <w:p w14:paraId="3142325C">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spacing w:val="-6"/>
                <w:kern w:val="0"/>
                <w:szCs w:val="21"/>
                <w:highlight w:val="none"/>
              </w:rPr>
            </w:pPr>
            <w:r>
              <w:rPr>
                <w:rFonts w:hint="default" w:ascii="Times New Roman" w:hAnsi="Times New Roman" w:eastAsia="方正仿宋_GBK" w:cs="Times New Roman"/>
                <w:bCs/>
                <w:color w:val="auto"/>
                <w:kern w:val="0"/>
                <w:szCs w:val="21"/>
                <w:highlight w:val="none"/>
              </w:rPr>
              <w:t>5.组织</w:t>
            </w:r>
            <w:r>
              <w:rPr>
                <w:rFonts w:hint="default" w:ascii="Times New Roman" w:hAnsi="Times New Roman" w:eastAsia="方正仿宋_GBK" w:cs="Times New Roman"/>
                <w:bCs/>
                <w:color w:val="auto"/>
                <w:spacing w:val="-6"/>
                <w:kern w:val="0"/>
                <w:szCs w:val="21"/>
                <w:highlight w:val="none"/>
              </w:rPr>
              <w:t>编制区总体应急预案和安全生产类、自然灾害类专项预案，综合协调应急预案衔接工作，组织开展预案演练，推动应急避难场所和设施建设。</w:t>
            </w:r>
          </w:p>
          <w:p w14:paraId="2C9883EE">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spacing w:val="-6"/>
                <w:kern w:val="0"/>
                <w:szCs w:val="21"/>
                <w:highlight w:val="none"/>
              </w:rPr>
            </w:pPr>
            <w:r>
              <w:rPr>
                <w:rFonts w:hint="default" w:ascii="Times New Roman" w:hAnsi="Times New Roman" w:eastAsia="方正仿宋_GBK" w:cs="Times New Roman"/>
                <w:bCs/>
                <w:color w:val="auto"/>
                <w:kern w:val="0"/>
                <w:szCs w:val="21"/>
                <w:highlight w:val="none"/>
              </w:rPr>
              <w:t>6.负责</w:t>
            </w:r>
            <w:r>
              <w:rPr>
                <w:rFonts w:hint="default" w:ascii="Times New Roman" w:hAnsi="Times New Roman" w:eastAsia="方正仿宋_GBK" w:cs="Times New Roman"/>
                <w:bCs/>
                <w:color w:val="auto"/>
                <w:spacing w:val="-6"/>
                <w:kern w:val="0"/>
                <w:szCs w:val="21"/>
                <w:highlight w:val="none"/>
              </w:rPr>
              <w:t>自然灾害综合监测预警工作，组织开展自然灾害类的综合风险评估、突发事件的调查评估工作。</w:t>
            </w:r>
          </w:p>
          <w:p w14:paraId="75DBA813">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7.统筹专业应急救援力量建设，指导综合性应急救援队伍、各级各部门及社会应急救援力量建设。组织指导协调安全生产类、自然灾害类等突发事件应急救援。</w:t>
            </w:r>
          </w:p>
          <w:p w14:paraId="31B40BDB">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8.</w:t>
            </w:r>
            <w:r>
              <w:rPr>
                <w:rFonts w:hint="default" w:ascii="Times New Roman" w:hAnsi="Times New Roman" w:eastAsia="方正仿宋_GBK" w:cs="Times New Roman"/>
                <w:b w:val="0"/>
                <w:bCs/>
                <w:color w:val="auto"/>
                <w:kern w:val="0"/>
                <w:sz w:val="21"/>
                <w:szCs w:val="21"/>
                <w:highlight w:val="none"/>
                <w:lang w:val="en-US" w:eastAsia="zh-CN" w:bidi="ar-SA"/>
              </w:rPr>
              <w:t>建立防汛抗旱组织指挥体系，开展隐患排查和整治、洪涝灾害应急处置，保障防汛经费物资，完善城区雨污排水设施、指导防御内涝、加强桥洞涵道巡查，开展建筑工地防御预警发布、自建房屋隐患整治监测、督促检查物业小区防涝。</w:t>
            </w:r>
          </w:p>
          <w:p w14:paraId="155B71D0">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9</w:t>
            </w:r>
            <w:r>
              <w:rPr>
                <w:rFonts w:hint="default" w:ascii="Times New Roman" w:hAnsi="Times New Roman" w:eastAsia="方正仿宋_GBK" w:cs="Times New Roman"/>
                <w:bCs/>
                <w:color w:val="auto"/>
                <w:kern w:val="0"/>
                <w:szCs w:val="21"/>
                <w:highlight w:val="none"/>
              </w:rPr>
              <w:t>.制定应急物资储备和应急救援装备规划并组织实施。</w:t>
            </w:r>
          </w:p>
          <w:p w14:paraId="24A2B573">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10</w:t>
            </w:r>
            <w:r>
              <w:rPr>
                <w:rFonts w:hint="default" w:ascii="Times New Roman" w:hAnsi="Times New Roman" w:eastAsia="方正仿宋_GBK" w:cs="Times New Roman"/>
                <w:bCs/>
                <w:color w:val="auto"/>
                <w:kern w:val="0"/>
                <w:szCs w:val="21"/>
                <w:highlight w:val="none"/>
              </w:rPr>
              <w:t>.成品油批发、仓储和零售经营市场的监管执法。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FED3E3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1.根据国家、省、市、</w:t>
            </w:r>
            <w:r>
              <w:rPr>
                <w:rFonts w:hint="default" w:ascii="Times New Roman" w:hAnsi="Times New Roman" w:eastAsia="方正仿宋_GBK" w:cs="Times New Roman"/>
                <w:bCs/>
                <w:color w:val="auto"/>
                <w:kern w:val="0"/>
                <w:szCs w:val="21"/>
                <w:highlight w:val="none"/>
                <w:lang w:val="en-US" w:eastAsia="zh-CN"/>
              </w:rPr>
              <w:t>区</w:t>
            </w:r>
            <w:r>
              <w:rPr>
                <w:rFonts w:hint="default" w:ascii="Times New Roman" w:hAnsi="Times New Roman" w:eastAsia="方正仿宋_GBK" w:cs="Times New Roman"/>
                <w:bCs/>
                <w:color w:val="auto"/>
                <w:kern w:val="0"/>
                <w:szCs w:val="21"/>
                <w:highlight w:val="none"/>
              </w:rPr>
              <w:t>部署要求，开展应急管理知识宣传普及、专项排查工作</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br w:type="textWrapping"/>
            </w:r>
            <w:r>
              <w:rPr>
                <w:rFonts w:hint="default" w:ascii="Times New Roman" w:hAnsi="Times New Roman" w:eastAsia="方正仿宋_GBK" w:cs="Times New Roman"/>
                <w:bCs/>
                <w:color w:val="auto"/>
                <w:kern w:val="0"/>
                <w:szCs w:val="21"/>
                <w:highlight w:val="none"/>
              </w:rPr>
              <w:t>2.配合开展巡查巡护，发现违法违规行为及时上报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br w:type="textWrapping"/>
            </w:r>
            <w:r>
              <w:rPr>
                <w:rFonts w:hint="default" w:ascii="Times New Roman" w:hAnsi="Times New Roman" w:eastAsia="方正仿宋_GBK" w:cs="Times New Roman"/>
                <w:bCs/>
                <w:color w:val="auto"/>
                <w:kern w:val="0"/>
                <w:szCs w:val="21"/>
                <w:highlight w:val="none"/>
              </w:rPr>
              <w:t>3.编制镇级突发事件应急预案并组织演练。</w:t>
            </w:r>
          </w:p>
          <w:p w14:paraId="649634F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4.发生事故灾难、自然灾害等突发事件后第一时间上报，按照突发事件应急预案组织开展群众疏散、初期救援等先期处置工作。</w:t>
            </w:r>
          </w:p>
          <w:p w14:paraId="5C347EA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5.协助做好群众安置、灾情统计、灾后恢复等相关工作。</w:t>
            </w:r>
          </w:p>
          <w:p w14:paraId="56C8BE85">
            <w:pPr>
              <w:pStyle w:val="2"/>
              <w:keepNext w:val="0"/>
              <w:keepLines w:val="0"/>
              <w:pageBreakBefore w:val="0"/>
              <w:widowControl w:val="0"/>
              <w:kinsoku/>
              <w:wordWrap/>
              <w:overflowPunct/>
              <w:topLinePunct w:val="0"/>
              <w:autoSpaceDE/>
              <w:autoSpaceDN/>
              <w:bidi w:val="0"/>
              <w:adjustRightInd/>
              <w:snapToGrid/>
              <w:spacing w:before="0" w:after="0" w:line="260" w:lineRule="exact"/>
              <w:textAlignment w:val="auto"/>
              <w:rPr>
                <w:rFonts w:hint="default" w:ascii="Times New Roman" w:hAnsi="Times New Roman" w:eastAsia="方正仿宋_GBK" w:cs="Times New Roman"/>
                <w:b w:val="0"/>
                <w:bCs/>
                <w:color w:val="auto"/>
                <w:kern w:val="0"/>
                <w:sz w:val="21"/>
                <w:szCs w:val="21"/>
                <w:highlight w:val="none"/>
                <w:lang w:val="en-US" w:eastAsia="zh-CN" w:bidi="ar-SA"/>
              </w:rPr>
            </w:pPr>
          </w:p>
          <w:p w14:paraId="09185C5A">
            <w:pPr>
              <w:pStyle w:val="2"/>
              <w:keepNext w:val="0"/>
              <w:keepLines w:val="0"/>
              <w:pageBreakBefore w:val="0"/>
              <w:widowControl w:val="0"/>
              <w:kinsoku/>
              <w:wordWrap/>
              <w:overflowPunct/>
              <w:topLinePunct w:val="0"/>
              <w:autoSpaceDE/>
              <w:autoSpaceDN/>
              <w:bidi w:val="0"/>
              <w:adjustRightInd/>
              <w:snapToGrid/>
              <w:spacing w:before="0" w:after="0" w:line="260" w:lineRule="exact"/>
              <w:jc w:val="both"/>
              <w:textAlignment w:val="auto"/>
              <w:rPr>
                <w:rFonts w:hint="default" w:ascii="Times New Roman" w:hAnsi="Times New Roman" w:eastAsia="方正仿宋_GBK" w:cs="Times New Roman"/>
                <w:b/>
                <w:snapToGrid w:val="0"/>
                <w:color w:val="auto"/>
                <w:kern w:val="0"/>
                <w:sz w:val="32"/>
                <w:szCs w:val="21"/>
                <w:highlight w:val="none"/>
                <w:lang w:val="en-US" w:eastAsia="zh-CN" w:bidi="ar-SA"/>
              </w:rPr>
            </w:pPr>
          </w:p>
        </w:tc>
      </w:tr>
      <w:tr w14:paraId="38DFDDF8">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D14E2F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0390AB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消防安全工作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58C7B90">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0"/>
                <w:kern w:val="0"/>
                <w:sz w:val="21"/>
                <w:szCs w:val="21"/>
                <w:highlight w:val="none"/>
              </w:rPr>
            </w:pPr>
            <w:r>
              <w:rPr>
                <w:rFonts w:hint="default" w:ascii="Times New Roman" w:hAnsi="Times New Roman" w:eastAsia="方正仿宋_GBK" w:cs="Times New Roman"/>
                <w:color w:val="auto"/>
                <w:spacing w:val="0"/>
                <w:kern w:val="0"/>
                <w:sz w:val="21"/>
                <w:szCs w:val="21"/>
                <w:highlight w:val="none"/>
              </w:rPr>
              <w:t>宿城区消防救援大队</w:t>
            </w:r>
          </w:p>
          <w:p w14:paraId="4A0B2CE6">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宿城区住房和城乡建设局</w:t>
            </w:r>
          </w:p>
          <w:p w14:paraId="79CA8215">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宿迁市公安局</w:t>
            </w:r>
          </w:p>
          <w:p w14:paraId="074CC67E">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宿城分局</w:t>
            </w:r>
          </w:p>
          <w:p w14:paraId="3E003D6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FE0D80F">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w:t>
            </w:r>
            <w:r>
              <w:rPr>
                <w:rFonts w:hint="default" w:ascii="Times New Roman" w:hAnsi="Times New Roman" w:eastAsia="方正仿宋_GBK" w:cs="Times New Roman"/>
                <w:color w:val="auto"/>
                <w:kern w:val="0"/>
                <w:szCs w:val="21"/>
                <w:highlight w:val="none"/>
              </w:rPr>
              <w:t>宿城区消防救援大队</w:t>
            </w:r>
            <w:r>
              <w:rPr>
                <w:rFonts w:hint="default" w:ascii="Times New Roman" w:hAnsi="Times New Roman" w:eastAsia="方正仿宋_GBK" w:cs="Times New Roman"/>
                <w:bCs/>
                <w:color w:val="auto"/>
                <w:kern w:val="0"/>
                <w:szCs w:val="21"/>
                <w:highlight w:val="none"/>
              </w:rP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p>
          <w:p w14:paraId="23F49081">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w:t>
            </w:r>
            <w:r>
              <w:rPr>
                <w:rFonts w:hint="default" w:ascii="Times New Roman" w:hAnsi="Times New Roman" w:eastAsia="方正仿宋_GBK" w:cs="Times New Roman"/>
                <w:color w:val="auto"/>
                <w:kern w:val="0"/>
                <w:szCs w:val="21"/>
                <w:highlight w:val="none"/>
              </w:rPr>
              <w:t>宿城区住房和城乡建设局</w:t>
            </w:r>
            <w:r>
              <w:rPr>
                <w:rFonts w:hint="default" w:ascii="Times New Roman" w:hAnsi="Times New Roman" w:eastAsia="方正仿宋_GBK" w:cs="Times New Roman"/>
                <w:bCs/>
                <w:color w:val="auto"/>
                <w:kern w:val="0"/>
                <w:szCs w:val="21"/>
                <w:highlight w:val="none"/>
              </w:rPr>
              <w:t>负责对特殊建设工程开展消防设计审查；对应当申请消防验收的建设工程开展竣工验收，对其他建设工程验收情况实施备案并开展抽查。</w:t>
            </w:r>
          </w:p>
          <w:p w14:paraId="113FAB47">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3</w:t>
            </w:r>
            <w:r>
              <w:rPr>
                <w:rFonts w:hint="default" w:ascii="Times New Roman" w:hAnsi="Times New Roman" w:eastAsia="方正仿宋_GBK" w:cs="Times New Roman"/>
                <w:bCs/>
                <w:color w:val="auto"/>
                <w:kern w:val="0"/>
                <w:szCs w:val="21"/>
                <w:highlight w:val="none"/>
              </w:rPr>
              <w:t>.</w:t>
            </w:r>
            <w:r>
              <w:rPr>
                <w:rFonts w:hint="default" w:ascii="Times New Roman" w:hAnsi="Times New Roman" w:eastAsia="方正仿宋_GBK" w:cs="Times New Roman"/>
                <w:color w:val="auto"/>
                <w:kern w:val="0"/>
                <w:szCs w:val="21"/>
                <w:highlight w:val="none"/>
              </w:rPr>
              <w:t>宿迁市公安局宿城分局</w:t>
            </w:r>
            <w:r>
              <w:rPr>
                <w:rFonts w:hint="default" w:ascii="Times New Roman" w:hAnsi="Times New Roman" w:eastAsia="方正仿宋_GBK" w:cs="Times New Roman"/>
                <w:bCs/>
                <w:color w:val="auto"/>
                <w:kern w:val="0"/>
                <w:szCs w:val="21"/>
                <w:highlight w:val="none"/>
              </w:rPr>
              <w:t>负责查处职责范围内涉及消防安全的违法犯罪行为，组织指导公安派出所开展日常消防监督检查和消防宣传教育活动，协助维护火灾现场秩序，保护现场，参与火灾事故调查处理。</w:t>
            </w:r>
          </w:p>
          <w:p w14:paraId="524AB72D">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w:t>
            </w:r>
            <w:r>
              <w:rPr>
                <w:rFonts w:hint="default" w:ascii="Times New Roman" w:hAnsi="Times New Roman" w:eastAsia="方正仿宋_GBK" w:cs="Times New Roman"/>
                <w:bCs/>
                <w:color w:val="auto"/>
                <w:kern w:val="0"/>
                <w:szCs w:val="21"/>
                <w:highlight w:val="none"/>
              </w:rPr>
              <w:t>.各有关部门根据本系统特点，</w:t>
            </w:r>
            <w:r>
              <w:rPr>
                <w:rFonts w:hint="default" w:ascii="Times New Roman" w:hAnsi="Times New Roman" w:eastAsia="方正仿宋_GBK" w:cs="Times New Roman"/>
                <w:bCs/>
                <w:color w:val="auto"/>
                <w:kern w:val="0"/>
                <w:szCs w:val="21"/>
                <w:highlight w:val="none"/>
                <w:lang w:eastAsia="zh-CN"/>
              </w:rPr>
              <w:t>有针对性开展消防安全检查</w:t>
            </w:r>
            <w:r>
              <w:rPr>
                <w:rFonts w:hint="default" w:ascii="Times New Roman" w:hAnsi="Times New Roman" w:eastAsia="方正仿宋_GBK" w:cs="Times New Roman"/>
                <w:bCs/>
                <w:color w:val="auto"/>
                <w:kern w:val="0"/>
                <w:szCs w:val="21"/>
                <w:highlight w:val="none"/>
              </w:rPr>
              <w:t>，及时督促整改火灾隐患。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25FD77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1.根据国家、省、市、</w:t>
            </w:r>
            <w:r>
              <w:rPr>
                <w:rFonts w:hint="default" w:ascii="Times New Roman" w:hAnsi="Times New Roman" w:eastAsia="方正仿宋_GBK" w:cs="Times New Roman"/>
                <w:bCs/>
                <w:color w:val="auto"/>
                <w:kern w:val="0"/>
                <w:szCs w:val="21"/>
                <w:highlight w:val="none"/>
                <w:lang w:val="en-US" w:eastAsia="zh-CN"/>
              </w:rPr>
              <w:t>区</w:t>
            </w:r>
            <w:r>
              <w:rPr>
                <w:rFonts w:hint="default" w:ascii="Times New Roman" w:hAnsi="Times New Roman" w:eastAsia="方正仿宋_GBK" w:cs="Times New Roman"/>
                <w:bCs/>
                <w:color w:val="auto"/>
                <w:kern w:val="0"/>
                <w:szCs w:val="21"/>
                <w:highlight w:val="none"/>
              </w:rPr>
              <w:t>部署要求，</w:t>
            </w:r>
            <w:r>
              <w:rPr>
                <w:rFonts w:hint="default" w:ascii="Times New Roman" w:hAnsi="Times New Roman" w:eastAsia="方正仿宋_GBK" w:cs="Times New Roman"/>
                <w:bCs/>
                <w:color w:val="auto"/>
                <w:kern w:val="0"/>
                <w:szCs w:val="21"/>
                <w:highlight w:val="none"/>
                <w:lang w:val="en-US" w:eastAsia="zh-CN"/>
              </w:rPr>
              <w:t>制定年度消防宣传工作计划，</w:t>
            </w:r>
            <w:r>
              <w:rPr>
                <w:rFonts w:hint="default" w:ascii="Times New Roman" w:hAnsi="Times New Roman" w:eastAsia="方正仿宋_GBK" w:cs="Times New Roman"/>
                <w:bCs/>
                <w:color w:val="auto"/>
                <w:kern w:val="0"/>
                <w:szCs w:val="21"/>
                <w:highlight w:val="none"/>
              </w:rPr>
              <w:t>开展消防知识宣传普及、专项排查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应急疏散演练</w:t>
            </w:r>
            <w:r>
              <w:rPr>
                <w:rFonts w:hint="default" w:ascii="Times New Roman" w:hAnsi="Times New Roman" w:eastAsia="方正仿宋_GBK" w:cs="Times New Roman"/>
                <w:bCs/>
                <w:color w:val="auto"/>
                <w:kern w:val="0"/>
                <w:szCs w:val="21"/>
                <w:highlight w:val="none"/>
              </w:rPr>
              <w:t>工作</w:t>
            </w:r>
            <w:r>
              <w:rPr>
                <w:rFonts w:hint="default" w:ascii="Times New Roman" w:hAnsi="Times New Roman" w:eastAsia="方正仿宋_GBK" w:cs="Times New Roman"/>
                <w:bCs/>
                <w:color w:val="auto"/>
                <w:kern w:val="0"/>
                <w:szCs w:val="21"/>
                <w:highlight w:val="none"/>
                <w:lang w:eastAsia="zh-CN"/>
              </w:rPr>
              <w:t>。</w:t>
            </w:r>
          </w:p>
          <w:p w14:paraId="0812299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2.配合开展巡查巡护，发现违法违规行为及时上报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协助督促辖区范围内的各类场所落实消防安全主体责任</w:t>
            </w:r>
            <w:r>
              <w:rPr>
                <w:rFonts w:hint="default" w:ascii="Times New Roman" w:hAnsi="Times New Roman" w:eastAsia="方正仿宋_GBK" w:cs="Times New Roman"/>
                <w:bCs/>
                <w:color w:val="auto"/>
                <w:kern w:val="0"/>
                <w:szCs w:val="21"/>
                <w:highlight w:val="none"/>
                <w:lang w:eastAsia="zh-CN"/>
              </w:rPr>
              <w:t>。</w:t>
            </w:r>
          </w:p>
          <w:p w14:paraId="309D4F7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3.协助灭火救援和火灾事故调查工作</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t>发生突发事件后，第一时间上报，</w:t>
            </w:r>
            <w:r>
              <w:rPr>
                <w:rFonts w:hint="default" w:ascii="Times New Roman" w:hAnsi="Times New Roman" w:eastAsia="方正仿宋_GBK" w:cs="Times New Roman"/>
                <w:bCs/>
                <w:color w:val="auto"/>
                <w:kern w:val="0"/>
                <w:szCs w:val="21"/>
                <w:highlight w:val="none"/>
                <w:lang w:val="en-US" w:eastAsia="zh-CN"/>
              </w:rPr>
              <w:t>并</w:t>
            </w:r>
            <w:r>
              <w:rPr>
                <w:rFonts w:hint="default" w:ascii="Times New Roman" w:hAnsi="Times New Roman" w:eastAsia="方正仿宋_GBK" w:cs="Times New Roman"/>
                <w:bCs/>
                <w:color w:val="auto"/>
                <w:kern w:val="0"/>
                <w:szCs w:val="21"/>
                <w:highlight w:val="none"/>
              </w:rPr>
              <w:t>组织开展群众疏散、初期救援等先期处置工作</w:t>
            </w:r>
            <w:r>
              <w:rPr>
                <w:rFonts w:hint="default" w:ascii="Times New Roman" w:hAnsi="Times New Roman" w:eastAsia="方正仿宋_GBK" w:cs="Times New Roman"/>
                <w:bCs/>
                <w:color w:val="auto"/>
                <w:kern w:val="0"/>
                <w:szCs w:val="21"/>
                <w:highlight w:val="none"/>
                <w:lang w:eastAsia="zh-CN"/>
              </w:rPr>
              <w:t>。</w:t>
            </w:r>
          </w:p>
        </w:tc>
      </w:tr>
      <w:tr w14:paraId="17F7D543">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972B4E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47DB14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危化品生产经营单位监督管理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9343475">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宿城区应急管理局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3E153A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负责对危化品生产、运输、使用、储存、经营、废弃处置等行为进行监管，督促做好危化品登记相关工作，对违法行为进行查处。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CB3646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1.做好辖区范围内危化品安全管理宣传工作。</w:t>
            </w:r>
          </w:p>
          <w:p w14:paraId="04CB5CE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2.对危化品安全行为进行日常巡查，发现问题线索及时上报。</w:t>
            </w:r>
          </w:p>
          <w:p w14:paraId="54B61C1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3.协助部门开展行政执法，维护执法现场秩序等工作。</w:t>
            </w:r>
          </w:p>
        </w:tc>
      </w:tr>
      <w:tr w14:paraId="212C5D57">
        <w:tblPrEx>
          <w:tblCellMar>
            <w:top w:w="0" w:type="dxa"/>
            <w:left w:w="108" w:type="dxa"/>
            <w:bottom w:w="0" w:type="dxa"/>
            <w:right w:w="108" w:type="dxa"/>
          </w:tblCellMar>
        </w:tblPrEx>
        <w:trPr>
          <w:cantSplit/>
          <w:trHeight w:val="19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C24674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DA92EC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燃气管理工作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C76E779">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43743C3">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bCs/>
                <w:color w:val="auto"/>
                <w:kern w:val="0"/>
                <w:sz w:val="21"/>
                <w:szCs w:val="21"/>
                <w:highlight w:val="none"/>
              </w:rPr>
            </w:pPr>
            <w:r>
              <w:rPr>
                <w:rFonts w:hint="default" w:ascii="Times New Roman" w:hAnsi="Times New Roman" w:eastAsia="方正仿宋_GBK" w:cs="Times New Roman"/>
                <w:bCs/>
                <w:color w:val="auto"/>
                <w:kern w:val="0"/>
                <w:sz w:val="21"/>
                <w:szCs w:val="21"/>
                <w:highlight w:val="none"/>
              </w:rPr>
              <w:t>1.明确职责分工，建立联席会议制度和协同监督管理机制。</w:t>
            </w:r>
          </w:p>
          <w:p w14:paraId="6B288B83">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 w:val="21"/>
                <w:szCs w:val="21"/>
                <w:highlight w:val="none"/>
              </w:rPr>
              <w:t>2.</w:t>
            </w:r>
            <w:r>
              <w:rPr>
                <w:rFonts w:hint="default" w:ascii="Times New Roman" w:hAnsi="Times New Roman" w:eastAsia="方正仿宋_GBK" w:cs="Times New Roman"/>
                <w:color w:val="auto"/>
                <w:szCs w:val="21"/>
                <w:highlight w:val="none"/>
              </w:rPr>
              <w:t>建立隐患排查整治机制，定期组织对燃气设施建设以及燃气储存、充装、运输、经营、使用等环节的安全责任落实和隐患排查整改情况开展安全监督检查，对燃气违法行为实施行政处罚，及时消除隐患。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BC0D94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1.协助上级部门检查燃气生产经营单位的安全生产状况，及时制止违法经营和占压、损毁燃气设施的行为，对劝阻无效的及时上报</w:t>
            </w:r>
            <w:r>
              <w:rPr>
                <w:rFonts w:hint="default" w:ascii="Times New Roman" w:hAnsi="Times New Roman" w:eastAsia="方正仿宋_GBK" w:cs="Times New Roman"/>
                <w:bCs/>
                <w:color w:val="auto"/>
                <w:kern w:val="0"/>
                <w:szCs w:val="21"/>
                <w:highlight w:val="none"/>
                <w:lang w:eastAsia="zh-CN"/>
              </w:rPr>
              <w:t>。</w:t>
            </w:r>
          </w:p>
          <w:p w14:paraId="1CA77D6E">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2.及时上报燃气安全事故，及时报告并协助上级部门处理。</w:t>
            </w:r>
          </w:p>
          <w:p w14:paraId="371FCA8F">
            <w:pPr>
              <w:pStyle w:val="2"/>
              <w:keepNext w:val="0"/>
              <w:keepLines w:val="0"/>
              <w:pageBreakBefore w:val="0"/>
              <w:widowControl/>
              <w:kinsoku/>
              <w:wordWrap/>
              <w:overflowPunct/>
              <w:topLinePunct w:val="0"/>
              <w:autoSpaceDE/>
              <w:autoSpaceDN/>
              <w:bidi w:val="0"/>
              <w:adjustRightInd/>
              <w:snapToGrid/>
              <w:spacing w:before="0" w:after="0" w:line="240" w:lineRule="exact"/>
              <w:jc w:val="both"/>
              <w:rPr>
                <w:rFonts w:hint="default" w:ascii="Times New Roman" w:hAnsi="Times New Roman" w:eastAsia="方正仿宋_GBK" w:cs="Times New Roman"/>
                <w:b/>
                <w:snapToGrid w:val="0"/>
                <w:color w:val="auto"/>
                <w:kern w:val="0"/>
                <w:sz w:val="32"/>
                <w:szCs w:val="21"/>
                <w:highlight w:val="none"/>
                <w:lang w:val="en-US" w:eastAsia="zh-CN" w:bidi="ar-SA"/>
              </w:rPr>
            </w:pPr>
            <w:r>
              <w:rPr>
                <w:rFonts w:hint="default" w:ascii="Times New Roman" w:hAnsi="Times New Roman" w:eastAsia="方正仿宋_GBK" w:cs="Times New Roman"/>
                <w:b w:val="0"/>
                <w:bCs/>
                <w:color w:val="auto"/>
                <w:kern w:val="0"/>
                <w:sz w:val="21"/>
                <w:szCs w:val="21"/>
                <w:highlight w:val="none"/>
                <w:lang w:val="en-US" w:eastAsia="zh-CN" w:bidi="ar-SA"/>
              </w:rPr>
              <w:t>3.协助对用户安全用气进行监督管理。</w:t>
            </w:r>
          </w:p>
        </w:tc>
      </w:tr>
      <w:tr w14:paraId="473D3A01">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11F627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F84A33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道路交通安全工作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409124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w:t>
            </w:r>
            <w:r>
              <w:rPr>
                <w:rFonts w:hint="default" w:ascii="Times New Roman" w:hAnsi="Times New Roman" w:eastAsia="方正仿宋_GBK" w:cs="Times New Roman"/>
                <w:color w:val="auto"/>
                <w:spacing w:val="-6"/>
                <w:kern w:val="0"/>
                <w:sz w:val="21"/>
                <w:szCs w:val="21"/>
                <w:highlight w:val="none"/>
                <w:lang w:val="en-US" w:eastAsia="zh-CN"/>
              </w:rPr>
              <w:t>应急管理局</w:t>
            </w:r>
          </w:p>
          <w:p w14:paraId="31D22319">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w:t>
            </w:r>
            <w:r>
              <w:rPr>
                <w:rFonts w:hint="default" w:ascii="Times New Roman" w:hAnsi="Times New Roman" w:eastAsia="方正仿宋_GBK" w:cs="Times New Roman"/>
                <w:color w:val="auto"/>
                <w:spacing w:val="-6"/>
                <w:kern w:val="0"/>
                <w:sz w:val="21"/>
                <w:szCs w:val="21"/>
                <w:highlight w:val="none"/>
              </w:rPr>
              <w:t>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6949D1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负责</w:t>
            </w:r>
            <w:r>
              <w:rPr>
                <w:rFonts w:hint="default" w:ascii="Times New Roman" w:hAnsi="Times New Roman" w:eastAsia="方正仿宋_GBK" w:cs="Times New Roman"/>
                <w:bCs/>
                <w:strike w:val="0"/>
                <w:dstrike w:val="0"/>
                <w:color w:val="auto"/>
                <w:kern w:val="0"/>
                <w:szCs w:val="21"/>
                <w:highlight w:val="none"/>
                <w:lang w:val="en-US" w:eastAsia="zh-CN"/>
              </w:rPr>
              <w:t>区</w:t>
            </w:r>
            <w:r>
              <w:rPr>
                <w:rFonts w:hint="default" w:ascii="Times New Roman" w:hAnsi="Times New Roman" w:eastAsia="方正仿宋_GBK" w:cs="Times New Roman"/>
                <w:bCs/>
                <w:strike w:val="0"/>
                <w:dstrike w:val="0"/>
                <w:color w:val="auto"/>
                <w:kern w:val="0"/>
                <w:szCs w:val="21"/>
                <w:highlight w:val="none"/>
              </w:rPr>
              <w:t>级以上道路的监督管理，组织开展交通安全隐患专项治理活动。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17E09A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1.配合开展</w:t>
            </w:r>
            <w:r>
              <w:rPr>
                <w:rFonts w:hint="default" w:ascii="Times New Roman" w:hAnsi="Times New Roman" w:eastAsia="方正仿宋_GBK" w:cs="Times New Roman"/>
                <w:bCs/>
                <w:strike w:val="0"/>
                <w:dstrike w:val="0"/>
                <w:color w:val="auto"/>
                <w:kern w:val="0"/>
                <w:szCs w:val="21"/>
                <w:highlight w:val="none"/>
                <w:lang w:val="en-US" w:eastAsia="zh-CN"/>
              </w:rPr>
              <w:t>区</w:t>
            </w:r>
            <w:r>
              <w:rPr>
                <w:rFonts w:hint="default" w:ascii="Times New Roman" w:hAnsi="Times New Roman" w:eastAsia="方正仿宋_GBK" w:cs="Times New Roman"/>
                <w:bCs/>
                <w:strike w:val="0"/>
                <w:dstrike w:val="0"/>
                <w:color w:val="auto"/>
                <w:kern w:val="0"/>
                <w:szCs w:val="21"/>
                <w:highlight w:val="none"/>
              </w:rPr>
              <w:t>级以上道路巡查巡护，发现安全隐患及时上报、联动处置</w:t>
            </w:r>
            <w:r>
              <w:rPr>
                <w:rFonts w:hint="default" w:ascii="Times New Roman" w:hAnsi="Times New Roman" w:eastAsia="方正仿宋_GBK" w:cs="Times New Roman"/>
                <w:bCs/>
                <w:strike w:val="0"/>
                <w:dstrike w:val="0"/>
                <w:color w:val="auto"/>
                <w:kern w:val="0"/>
                <w:szCs w:val="21"/>
                <w:highlight w:val="none"/>
                <w:lang w:eastAsia="zh-CN"/>
              </w:rPr>
              <w:t>。</w:t>
            </w:r>
            <w:r>
              <w:rPr>
                <w:rFonts w:hint="default" w:ascii="Times New Roman" w:hAnsi="Times New Roman" w:eastAsia="方正仿宋_GBK" w:cs="Times New Roman"/>
                <w:bCs/>
                <w:strike w:val="0"/>
                <w:dstrike w:val="0"/>
                <w:color w:val="auto"/>
                <w:kern w:val="0"/>
                <w:szCs w:val="21"/>
                <w:highlight w:val="none"/>
              </w:rPr>
              <w:br w:type="textWrapping"/>
            </w:r>
            <w:r>
              <w:rPr>
                <w:rFonts w:hint="default" w:ascii="Times New Roman" w:hAnsi="Times New Roman" w:eastAsia="方正仿宋_GBK" w:cs="Times New Roman"/>
                <w:bCs/>
                <w:strike w:val="0"/>
                <w:dstrike w:val="0"/>
                <w:color w:val="auto"/>
                <w:kern w:val="0"/>
                <w:szCs w:val="21"/>
                <w:highlight w:val="none"/>
              </w:rPr>
              <w:t>2.做好道路管理权限范围内的交通安全隐患整治工作。</w:t>
            </w:r>
          </w:p>
        </w:tc>
      </w:tr>
      <w:tr w14:paraId="53F11624">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5BB6A4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九、市场监管（7项）</w:t>
            </w:r>
          </w:p>
        </w:tc>
      </w:tr>
      <w:tr w14:paraId="39D0D9EA">
        <w:tblPrEx>
          <w:tblCellMar>
            <w:top w:w="0" w:type="dxa"/>
            <w:left w:w="108" w:type="dxa"/>
            <w:bottom w:w="0" w:type="dxa"/>
            <w:right w:w="108" w:type="dxa"/>
          </w:tblCellMar>
        </w:tblPrEx>
        <w:trPr>
          <w:cantSplit/>
          <w:trHeight w:val="101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2A06E1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D099E9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推进税费协同共治，开展税费征管服务保障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13D4480">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宿城区税务局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C17469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负责印制最新税费优惠政策，管理企业税收事项，将小额欠税企业相关信息反馈给镇（街道）。</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BFDC71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1.配合开展税收政策宣传。</w:t>
            </w:r>
          </w:p>
          <w:p w14:paraId="25B7A0A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2.配合做好外迁企业跟踪管理，协助追缴小额欠税企业税款。</w:t>
            </w:r>
          </w:p>
        </w:tc>
      </w:tr>
      <w:tr w14:paraId="3782D3C0">
        <w:tblPrEx>
          <w:tblCellMar>
            <w:top w:w="0" w:type="dxa"/>
            <w:left w:w="108" w:type="dxa"/>
            <w:bottom w:w="0" w:type="dxa"/>
            <w:right w:w="108" w:type="dxa"/>
          </w:tblCellMar>
        </w:tblPrEx>
        <w:trPr>
          <w:cantSplit/>
          <w:trHeight w:val="216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E228F1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szCs w:val="21"/>
                <w:highlight w:val="none"/>
                <w:lang w:val="en-US" w:eastAsia="zh-CN"/>
              </w:rPr>
              <w:t>50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DC4CDC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由省级党委和政府统一部署的、经区委区政府同意的各类信息数据上报工作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E8A6A1E">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宿城区统计局</w:t>
            </w:r>
          </w:p>
          <w:p w14:paraId="301E1F2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5ADF2A4">
            <w:pPr>
              <w:keepNext w:val="0"/>
              <w:keepLines w:val="0"/>
              <w:pageBreakBefore w:val="0"/>
              <w:kinsoku/>
              <w:wordWrap/>
              <w:overflowPunct/>
              <w:topLinePunct w:val="0"/>
              <w:bidi w:val="0"/>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1.宿城区统计局负责组织、指导和协调统计工作，明确信息数据报送要求，下达信息数据报送任务，收集、汇总、整理有关信息数据，向区委区政府及有关部门提供统计信息和咨询建议。</w:t>
            </w:r>
          </w:p>
          <w:p w14:paraId="0143FF11">
            <w:pPr>
              <w:keepNext w:val="0"/>
              <w:keepLines w:val="0"/>
              <w:pageBreakBefore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2.宿城区住房和城乡建设局负责指导镇（街道）提供城乡建设有关原始记录和凭证、统计台账、统计调查表、会计资料以及其他相关证明和资料。</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D4464A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1.明确信息数据报送工作任务和具体责任人。</w:t>
            </w:r>
          </w:p>
          <w:p w14:paraId="009713C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2.收集及报送信息数据，确保所报信息数据的及时性、准确性、时效性。</w:t>
            </w:r>
          </w:p>
          <w:p w14:paraId="54EDF6A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2"/>
                <w:sz w:val="21"/>
                <w:szCs w:val="24"/>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3.配合上级数据查询和执法检查工作。</w:t>
            </w:r>
          </w:p>
        </w:tc>
      </w:tr>
      <w:tr w14:paraId="25D94660">
        <w:tblPrEx>
          <w:tblCellMar>
            <w:top w:w="0" w:type="dxa"/>
            <w:left w:w="108" w:type="dxa"/>
            <w:bottom w:w="0" w:type="dxa"/>
            <w:right w:w="108" w:type="dxa"/>
          </w:tblCellMar>
        </w:tblPrEx>
        <w:trPr>
          <w:cantSplit/>
          <w:trHeight w:val="179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A8EE7C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0C7E6C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食品生产经营行为监管和食品安全事故应急救援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CF4F9F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6D5AB3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1.负责食品生产经营企业的监督管理，开展日常监督检查、专项检查和随机抽查，依法查处违法违规问题。</w:t>
            </w:r>
          </w:p>
          <w:p w14:paraId="40A002C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2.开展食品安全法律法规和知识宣传培训，加强对食品小作坊和食品摊贩生产经营活动的监督检查。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426949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1.开展日常巡查，发现违法违规行为及时上报。</w:t>
            </w:r>
          </w:p>
          <w:p w14:paraId="67A580A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.按照划定的经营区域、时段，协助受理食品摊点备案。</w:t>
            </w:r>
          </w:p>
          <w:p w14:paraId="0932F00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.辖区内发生食品安全事故，安排人员保护现场，做好事故上报和先期处置工作。</w:t>
            </w:r>
          </w:p>
        </w:tc>
      </w:tr>
      <w:tr w14:paraId="7B84A891">
        <w:tblPrEx>
          <w:tblCellMar>
            <w:top w:w="0" w:type="dxa"/>
            <w:left w:w="108" w:type="dxa"/>
            <w:bottom w:w="0" w:type="dxa"/>
            <w:right w:w="108" w:type="dxa"/>
          </w:tblCellMar>
        </w:tblPrEx>
        <w:trPr>
          <w:cantSplit/>
          <w:trHeight w:val="151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6D4111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167B66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文物保护工作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4A5E6F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7F2B81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全面落实考古前置制度，做好区域内文物保护工作，加强大运河文化遗产保护，定期开展巡查，推进文物保护项目建设工程实施，做好宿城区第四次全国文物普查。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49B925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做好文物普查宣传工作，协助开展全国文物普查，搜集文物线索，采集文物基础信息数据。</w:t>
            </w:r>
          </w:p>
        </w:tc>
      </w:tr>
      <w:tr w14:paraId="32BD001D">
        <w:tblPrEx>
          <w:tblCellMar>
            <w:top w:w="0" w:type="dxa"/>
            <w:left w:w="108" w:type="dxa"/>
            <w:bottom w:w="0" w:type="dxa"/>
            <w:right w:w="108" w:type="dxa"/>
          </w:tblCellMar>
        </w:tblPrEx>
        <w:trPr>
          <w:cantSplit/>
          <w:trHeight w:val="203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9B999D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C6D9A2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校外培训机构</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托管机构监督管理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978444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宿城区教育局</w:t>
            </w:r>
          </w:p>
          <w:p w14:paraId="5067B88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体育局</w:t>
            </w:r>
            <w:r>
              <w:rPr>
                <w:rFonts w:hint="default" w:ascii="Times New Roman" w:hAnsi="Times New Roman" w:eastAsia="方正仿宋_GBK" w:cs="Times New Roman"/>
                <w:color w:val="auto"/>
                <w:kern w:val="0"/>
                <w:szCs w:val="21"/>
                <w:highlight w:val="none"/>
                <w:lang w:eastAsia="zh-CN"/>
              </w:rPr>
              <w:t>）</w:t>
            </w:r>
          </w:p>
          <w:p w14:paraId="4DF28B5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val="en-US" w:eastAsia="zh-CN"/>
              </w:rPr>
              <w:t>宿城区科技局</w:t>
            </w:r>
          </w:p>
          <w:p w14:paraId="6B5E3EE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497BE5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w:t>
            </w:r>
            <w:r>
              <w:rPr>
                <w:rFonts w:hint="default" w:ascii="Times New Roman" w:hAnsi="Times New Roman" w:eastAsia="方正仿宋_GBK" w:cs="Times New Roman"/>
                <w:bCs/>
                <w:color w:val="auto"/>
                <w:kern w:val="0"/>
                <w:szCs w:val="21"/>
                <w:highlight w:val="none"/>
                <w:lang w:val="en-US" w:eastAsia="zh-CN"/>
              </w:rPr>
              <w:t>宿城区教育局</w:t>
            </w:r>
            <w:r>
              <w:rPr>
                <w:rFonts w:hint="default" w:ascii="Times New Roman" w:hAnsi="Times New Roman" w:eastAsia="方正仿宋_GBK" w:cs="Times New Roman"/>
                <w:bCs/>
                <w:color w:val="auto"/>
                <w:kern w:val="0"/>
                <w:szCs w:val="21"/>
                <w:highlight w:val="none"/>
              </w:rPr>
              <w:t>牵头做好校外培训机构规范发展工作，负责学科类校外培训机构日常监管、行政执法、风险防范处置等工作。</w:t>
            </w:r>
          </w:p>
          <w:p w14:paraId="1404295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4"/>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2.宿城区</w:t>
            </w:r>
            <w:r>
              <w:rPr>
                <w:rFonts w:hint="default" w:ascii="Times New Roman" w:hAnsi="Times New Roman" w:eastAsia="方正仿宋_GBK" w:cs="Times New Roman"/>
                <w:bCs/>
                <w:color w:val="auto"/>
                <w:kern w:val="0"/>
                <w:szCs w:val="21"/>
                <w:highlight w:val="none"/>
              </w:rPr>
              <w:t>科技</w:t>
            </w:r>
            <w:r>
              <w:rPr>
                <w:rFonts w:hint="default" w:ascii="Times New Roman" w:hAnsi="Times New Roman" w:eastAsia="方正仿宋_GBK" w:cs="Times New Roman"/>
                <w:bCs/>
                <w:color w:val="auto"/>
                <w:kern w:val="0"/>
                <w:szCs w:val="21"/>
                <w:highlight w:val="none"/>
                <w:lang w:val="en-US" w:eastAsia="zh-CN"/>
              </w:rPr>
              <w:t>局</w:t>
            </w:r>
            <w:r>
              <w:rPr>
                <w:rFonts w:hint="default" w:ascii="Times New Roman" w:hAnsi="Times New Roman" w:eastAsia="方正仿宋_GBK" w:cs="Times New Roman"/>
                <w:bCs/>
                <w:color w:val="auto"/>
                <w:kern w:val="0"/>
                <w:szCs w:val="21"/>
                <w:highlight w:val="none"/>
              </w:rPr>
              <w:t>、文化</w:t>
            </w:r>
            <w:r>
              <w:rPr>
                <w:rFonts w:hint="default" w:ascii="Times New Roman" w:hAnsi="Times New Roman" w:eastAsia="方正仿宋_GBK" w:cs="Times New Roman"/>
                <w:bCs/>
                <w:color w:val="auto"/>
                <w:kern w:val="0"/>
                <w:szCs w:val="21"/>
                <w:highlight w:val="none"/>
                <w:lang w:val="en-US" w:eastAsia="zh-CN"/>
              </w:rPr>
              <w:t>广电</w:t>
            </w:r>
            <w:r>
              <w:rPr>
                <w:rFonts w:hint="default" w:ascii="Times New Roman" w:hAnsi="Times New Roman" w:eastAsia="方正仿宋_GBK" w:cs="Times New Roman"/>
                <w:bCs/>
                <w:color w:val="auto"/>
                <w:kern w:val="0"/>
                <w:szCs w:val="21"/>
                <w:highlight w:val="none"/>
              </w:rPr>
              <w:t>和旅游</w:t>
            </w:r>
            <w:r>
              <w:rPr>
                <w:rFonts w:hint="default" w:ascii="Times New Roman" w:hAnsi="Times New Roman" w:eastAsia="方正仿宋_GBK" w:cs="Times New Roman"/>
                <w:bCs/>
                <w:color w:val="auto"/>
                <w:kern w:val="0"/>
                <w:szCs w:val="21"/>
                <w:highlight w:val="none"/>
                <w:lang w:val="en-US" w:eastAsia="zh-CN"/>
              </w:rPr>
              <w:t>局</w:t>
            </w:r>
            <w:r>
              <w:rPr>
                <w:rFonts w:hint="default" w:ascii="Times New Roman" w:hAnsi="Times New Roman" w:eastAsia="方正仿宋_GBK" w:cs="Times New Roman"/>
                <w:bCs/>
                <w:color w:val="auto"/>
                <w:kern w:val="0"/>
                <w:szCs w:val="21"/>
                <w:highlight w:val="none"/>
              </w:rPr>
              <w:t>、体育</w:t>
            </w:r>
            <w:r>
              <w:rPr>
                <w:rFonts w:hint="default" w:ascii="Times New Roman" w:hAnsi="Times New Roman" w:eastAsia="方正仿宋_GBK" w:cs="Times New Roman"/>
                <w:bCs/>
                <w:color w:val="auto"/>
                <w:kern w:val="0"/>
                <w:szCs w:val="21"/>
                <w:highlight w:val="none"/>
                <w:lang w:val="en-US" w:eastAsia="zh-CN"/>
              </w:rPr>
              <w:t>局</w:t>
            </w:r>
            <w:r>
              <w:rPr>
                <w:rFonts w:hint="default" w:ascii="Times New Roman" w:hAnsi="Times New Roman" w:eastAsia="方正仿宋_GBK" w:cs="Times New Roman"/>
                <w:bCs/>
                <w:color w:val="auto"/>
                <w:kern w:val="0"/>
                <w:szCs w:val="21"/>
                <w:highlight w:val="none"/>
              </w:rPr>
              <w:t>分别负责科技类、文化艺术类、体育类等非学科类校外培训机构的准入审批、日常监管、风险防范处置等工作，参与对非学科类校外培训机构的综合执法、联合执法、协作执法。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44461F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1.</w:t>
            </w:r>
            <w:r>
              <w:rPr>
                <w:rFonts w:hint="default" w:ascii="Times New Roman" w:hAnsi="Times New Roman" w:eastAsia="方正仿宋_GBK" w:cs="Times New Roman"/>
                <w:bCs/>
                <w:color w:val="auto"/>
                <w:kern w:val="0"/>
                <w:szCs w:val="21"/>
                <w:highlight w:val="none"/>
              </w:rPr>
              <w:t>开展所在区域校外培训</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托管</w:t>
            </w:r>
            <w:r>
              <w:rPr>
                <w:rFonts w:hint="default" w:ascii="Times New Roman" w:hAnsi="Times New Roman" w:eastAsia="方正仿宋_GBK" w:cs="Times New Roman"/>
                <w:bCs/>
                <w:color w:val="auto"/>
                <w:kern w:val="0"/>
                <w:szCs w:val="21"/>
                <w:highlight w:val="none"/>
              </w:rPr>
              <w:t>市场的日常巡查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t>协同开展校外培训</w:t>
            </w:r>
            <w:r>
              <w:rPr>
                <w:rFonts w:hint="default" w:ascii="Times New Roman" w:hAnsi="Times New Roman" w:eastAsia="方正仿宋_GBK" w:cs="Times New Roman"/>
                <w:bCs/>
                <w:color w:val="auto"/>
                <w:kern w:val="0"/>
                <w:szCs w:val="21"/>
                <w:highlight w:val="none"/>
                <w:lang w:val="en-US" w:eastAsia="zh-CN"/>
              </w:rPr>
              <w:t>的</w:t>
            </w:r>
            <w:r>
              <w:rPr>
                <w:rFonts w:hint="default" w:ascii="Times New Roman" w:hAnsi="Times New Roman" w:eastAsia="方正仿宋_GBK" w:cs="Times New Roman"/>
                <w:bCs/>
                <w:color w:val="auto"/>
                <w:kern w:val="0"/>
                <w:szCs w:val="21"/>
                <w:highlight w:val="none"/>
              </w:rPr>
              <w:t>联合执法。</w:t>
            </w:r>
          </w:p>
          <w:p w14:paraId="2ADE059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4"/>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w:t>
            </w:r>
            <w:r>
              <w:rPr>
                <w:rFonts w:hint="default" w:ascii="Times New Roman" w:hAnsi="Times New Roman" w:eastAsia="方正仿宋_GBK" w:cs="Times New Roman"/>
                <w:bCs/>
                <w:color w:val="auto"/>
                <w:kern w:val="0"/>
                <w:szCs w:val="21"/>
                <w:highlight w:val="none"/>
              </w:rPr>
              <w:t>按照职责对</w:t>
            </w:r>
            <w:r>
              <w:rPr>
                <w:rFonts w:hint="default" w:ascii="Times New Roman" w:hAnsi="Times New Roman" w:eastAsia="方正仿宋_GBK" w:cs="Times New Roman"/>
                <w:bCs/>
                <w:color w:val="auto"/>
                <w:kern w:val="0"/>
                <w:szCs w:val="21"/>
                <w:highlight w:val="none"/>
                <w:lang w:val="en-US" w:eastAsia="zh-CN"/>
              </w:rPr>
              <w:t>辖区</w:t>
            </w:r>
            <w:r>
              <w:rPr>
                <w:rFonts w:hint="default" w:ascii="Times New Roman" w:hAnsi="Times New Roman" w:eastAsia="方正仿宋_GBK" w:cs="Times New Roman"/>
                <w:bCs/>
                <w:color w:val="auto"/>
                <w:kern w:val="0"/>
                <w:szCs w:val="21"/>
                <w:highlight w:val="none"/>
              </w:rPr>
              <w:t>内</w:t>
            </w:r>
            <w:r>
              <w:rPr>
                <w:rFonts w:hint="default" w:ascii="Times New Roman" w:hAnsi="Times New Roman" w:eastAsia="方正仿宋_GBK" w:cs="Times New Roman"/>
                <w:bCs/>
                <w:color w:val="auto"/>
                <w:kern w:val="0"/>
                <w:szCs w:val="21"/>
                <w:highlight w:val="none"/>
                <w:lang w:val="en-US" w:eastAsia="zh-CN"/>
              </w:rPr>
              <w:t>校</w:t>
            </w:r>
            <w:r>
              <w:rPr>
                <w:rFonts w:hint="default" w:ascii="Times New Roman" w:hAnsi="Times New Roman" w:eastAsia="方正仿宋_GBK" w:cs="Times New Roman"/>
                <w:bCs/>
                <w:color w:val="auto"/>
                <w:kern w:val="0"/>
                <w:szCs w:val="21"/>
                <w:highlight w:val="none"/>
              </w:rPr>
              <w:t>外培训机构、托管机构安全生产状况进行监督检查，协助</w:t>
            </w:r>
            <w:r>
              <w:rPr>
                <w:rFonts w:hint="default" w:ascii="Times New Roman" w:hAnsi="Times New Roman" w:eastAsia="方正仿宋_GBK" w:cs="Times New Roman"/>
                <w:bCs/>
                <w:color w:val="auto"/>
                <w:kern w:val="0"/>
                <w:szCs w:val="21"/>
                <w:highlight w:val="none"/>
                <w:lang w:val="en-US" w:eastAsia="zh-CN"/>
              </w:rPr>
              <w:t>相关职能</w:t>
            </w:r>
            <w:r>
              <w:rPr>
                <w:rFonts w:hint="default" w:ascii="Times New Roman" w:hAnsi="Times New Roman" w:eastAsia="方正仿宋_GBK" w:cs="Times New Roman"/>
                <w:bCs/>
                <w:color w:val="auto"/>
                <w:kern w:val="0"/>
                <w:szCs w:val="21"/>
                <w:highlight w:val="none"/>
              </w:rPr>
              <w:t>部门履行安全生产监督管理职责。</w:t>
            </w:r>
          </w:p>
        </w:tc>
      </w:tr>
      <w:tr w14:paraId="77B9F383">
        <w:tblPrEx>
          <w:tblCellMar>
            <w:top w:w="0" w:type="dxa"/>
            <w:left w:w="108" w:type="dxa"/>
            <w:bottom w:w="0" w:type="dxa"/>
            <w:right w:w="108" w:type="dxa"/>
          </w:tblCellMar>
        </w:tblPrEx>
        <w:trPr>
          <w:cantSplit/>
          <w:trHeight w:val="182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616FA3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801481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农贸市场经营监督管理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83F13B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宿城区市场监督</w:t>
            </w:r>
          </w:p>
          <w:p w14:paraId="7A46EC2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管理局</w:t>
            </w:r>
          </w:p>
          <w:p w14:paraId="192B0AF0">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宿城区商务局</w:t>
            </w:r>
          </w:p>
          <w:p w14:paraId="1D3A3FA9">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宿城区城市管理局</w:t>
            </w:r>
          </w:p>
          <w:p w14:paraId="32F92254">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宿城区农业农村局</w:t>
            </w:r>
          </w:p>
          <w:p w14:paraId="21A08DE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0B305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1.宿城区市场监督管理局负责对市场内经营者依法予以登记注册，监督经营者持证亮照经营，加强食品安全管理，规范市场内计量器具使用管理，受理消费者投诉纠纷。</w:t>
            </w:r>
          </w:p>
          <w:p w14:paraId="33966E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2.其他部门在职责分工内做好农贸市场建设、市容、环境、卫生、防疫、质量安全等方面工作。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8F646E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1.配合开展辖区内农贸市场经营者日常经营行为疏导工作，指导市场开办者落实经营管理责任。</w:t>
            </w:r>
          </w:p>
          <w:p w14:paraId="4B06036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2.发现违法违规经营行为，及时上报。</w:t>
            </w:r>
          </w:p>
        </w:tc>
      </w:tr>
      <w:tr w14:paraId="230DD02A">
        <w:tblPrEx>
          <w:tblCellMar>
            <w:top w:w="0" w:type="dxa"/>
            <w:left w:w="108" w:type="dxa"/>
            <w:bottom w:w="0" w:type="dxa"/>
            <w:right w:w="108" w:type="dxa"/>
          </w:tblCellMar>
        </w:tblPrEx>
        <w:trPr>
          <w:cantSplit/>
          <w:trHeight w:val="221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3E808C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E71706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szCs w:val="21"/>
                <w:highlight w:val="none"/>
              </w:rPr>
              <w:t>推进质量发展与产品质量监管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505A23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CCC30D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1.引导企业应用并推广先进质量管理方法，制定落实产品和服务质量提升、产品质量安全事故强制报告、缺陷产品召回等制度。</w:t>
            </w:r>
          </w:p>
          <w:p w14:paraId="10C1821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2.实施产品质量监督抽查、风险监控、分类监管和上级产品质量监督抽查后处理工作，开展工业产品生产许可企业监督检查。</w:t>
            </w:r>
          </w:p>
          <w:p w14:paraId="469C1C4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3.协调实施纤维制品质量监督工作，</w:t>
            </w:r>
            <w:r>
              <w:rPr>
                <w:rFonts w:hint="default" w:ascii="Times New Roman" w:hAnsi="Times New Roman" w:eastAsia="方正仿宋_GBK" w:cs="Times New Roman"/>
                <w:bCs/>
                <w:color w:val="auto"/>
                <w:spacing w:val="-6"/>
                <w:kern w:val="0"/>
                <w:szCs w:val="21"/>
                <w:highlight w:val="none"/>
              </w:rPr>
              <w:t>负责对保障劳动安全、影响生产安全的产品进行监督管理。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C5C058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1.及时上报辖区内发生的产品质量安全事故。</w:t>
            </w:r>
          </w:p>
          <w:p w14:paraId="37F9E54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w:t>
            </w:r>
            <w:r>
              <w:rPr>
                <w:rFonts w:hint="default" w:ascii="Times New Roman" w:hAnsi="Times New Roman" w:eastAsia="方正仿宋_GBK" w:cs="Times New Roman"/>
                <w:bCs/>
                <w:color w:val="auto"/>
                <w:kern w:val="0"/>
                <w:szCs w:val="21"/>
                <w:highlight w:val="none"/>
              </w:rPr>
              <w:t>.宣传推广先进质量管理办法。</w:t>
            </w:r>
          </w:p>
        </w:tc>
      </w:tr>
      <w:tr w14:paraId="13F38BB2">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4F7FC8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十、投资促进（5项）</w:t>
            </w:r>
          </w:p>
        </w:tc>
      </w:tr>
      <w:tr w14:paraId="1D609A11">
        <w:tblPrEx>
          <w:tblCellMar>
            <w:top w:w="0" w:type="dxa"/>
            <w:left w:w="108" w:type="dxa"/>
            <w:bottom w:w="0" w:type="dxa"/>
            <w:right w:w="108" w:type="dxa"/>
          </w:tblCellMar>
        </w:tblPrEx>
        <w:trPr>
          <w:cantSplit/>
          <w:trHeight w:val="143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088CA8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A94E34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节约集约用地工作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756B16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宿迁市自然资源和规划局宿城分局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4B0E3A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宿迁市自然资源和规划局宿城分局办理用地报批手续，做好权属争议调处工作，开展农房调查、登记发证、土地卫片</w:t>
            </w:r>
            <w:r>
              <w:rPr>
                <w:rFonts w:hint="default" w:ascii="Times New Roman" w:hAnsi="Times New Roman" w:eastAsia="方正仿宋_GBK" w:cs="Times New Roman"/>
                <w:color w:val="auto"/>
                <w:kern w:val="0"/>
                <w:szCs w:val="21"/>
                <w:highlight w:val="none"/>
                <w:lang w:val="en-US" w:eastAsia="zh-CN"/>
              </w:rPr>
              <w:t>监督检查</w:t>
            </w:r>
            <w:r>
              <w:rPr>
                <w:rFonts w:hint="default" w:ascii="Times New Roman" w:hAnsi="Times New Roman" w:eastAsia="方正仿宋_GBK" w:cs="Times New Roman"/>
                <w:color w:val="auto"/>
                <w:kern w:val="0"/>
                <w:szCs w:val="21"/>
                <w:highlight w:val="none"/>
              </w:rPr>
              <w:t>，严格耕地用途管制</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严肃查处违法违规用地行为。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1EA7A3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1.配合开展低效用地再开发工作。</w:t>
            </w:r>
          </w:p>
          <w:p w14:paraId="2592CF1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w:t>
            </w:r>
            <w:r>
              <w:rPr>
                <w:rFonts w:hint="default" w:ascii="Times New Roman" w:hAnsi="Times New Roman" w:eastAsia="方正仿宋_GBK" w:cs="Times New Roman"/>
                <w:color w:val="auto"/>
                <w:kern w:val="0"/>
                <w:szCs w:val="21"/>
                <w:highlight w:val="none"/>
                <w:lang w:eastAsia="zh-CN"/>
              </w:rPr>
              <w:t>协助</w:t>
            </w:r>
            <w:r>
              <w:rPr>
                <w:rFonts w:hint="default" w:ascii="Times New Roman" w:hAnsi="Times New Roman" w:eastAsia="方正仿宋_GBK" w:cs="Times New Roman"/>
                <w:color w:val="auto"/>
                <w:kern w:val="0"/>
                <w:szCs w:val="21"/>
                <w:highlight w:val="none"/>
                <w:lang w:val="en-US" w:eastAsia="zh-CN"/>
              </w:rPr>
              <w:t>对</w:t>
            </w:r>
            <w:r>
              <w:rPr>
                <w:rFonts w:hint="default" w:ascii="Times New Roman" w:hAnsi="Times New Roman" w:eastAsia="方正仿宋_GBK" w:cs="Times New Roman"/>
                <w:color w:val="auto"/>
                <w:kern w:val="0"/>
                <w:szCs w:val="21"/>
                <w:highlight w:val="none"/>
              </w:rPr>
              <w:t>违法用地行为</w:t>
            </w:r>
            <w:r>
              <w:rPr>
                <w:rFonts w:hint="default" w:ascii="Times New Roman" w:hAnsi="Times New Roman" w:eastAsia="方正仿宋_GBK" w:cs="Times New Roman"/>
                <w:color w:val="auto"/>
                <w:kern w:val="0"/>
                <w:szCs w:val="21"/>
                <w:highlight w:val="none"/>
                <w:lang w:val="en-US" w:eastAsia="zh-CN"/>
              </w:rPr>
              <w:t>开展</w:t>
            </w:r>
            <w:r>
              <w:rPr>
                <w:rFonts w:hint="default" w:ascii="Times New Roman" w:hAnsi="Times New Roman" w:eastAsia="方正仿宋_GBK" w:cs="Times New Roman"/>
                <w:color w:val="auto"/>
                <w:kern w:val="0"/>
                <w:szCs w:val="21"/>
                <w:highlight w:val="none"/>
                <w:lang w:eastAsia="zh-CN"/>
              </w:rPr>
              <w:t>实地核查、日常巡查，发现并上报违法违规用地行为</w:t>
            </w:r>
            <w:r>
              <w:rPr>
                <w:rFonts w:hint="default" w:ascii="Times New Roman" w:hAnsi="Times New Roman" w:eastAsia="方正仿宋_GBK" w:cs="Times New Roman"/>
                <w:color w:val="auto"/>
                <w:kern w:val="0"/>
                <w:szCs w:val="21"/>
                <w:highlight w:val="none"/>
              </w:rPr>
              <w:t>。</w:t>
            </w:r>
          </w:p>
          <w:p w14:paraId="4162C4E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.配合提供用地红线、定桩等资料，张贴征地公告，确定社保人员名单及签订征地协议。</w:t>
            </w:r>
          </w:p>
        </w:tc>
      </w:tr>
      <w:tr w14:paraId="4313B6DC">
        <w:tblPrEx>
          <w:tblCellMar>
            <w:top w:w="0" w:type="dxa"/>
            <w:left w:w="108" w:type="dxa"/>
            <w:bottom w:w="0" w:type="dxa"/>
            <w:right w:w="108" w:type="dxa"/>
          </w:tblCellMar>
        </w:tblPrEx>
        <w:trPr>
          <w:cantSplit/>
          <w:trHeight w:val="261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81A03D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 w:val="21"/>
                <w:szCs w:val="21"/>
                <w:highlight w:val="none"/>
                <w:lang w:val="en-US" w:eastAsia="zh-CN" w:bidi="ar-SA"/>
              </w:rPr>
              <w:t>57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3D9E09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固定资产投资项目节能工作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75AD16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宿城区工业和</w:t>
            </w:r>
          </w:p>
          <w:p w14:paraId="3709167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信息化局</w:t>
            </w:r>
          </w:p>
          <w:p w14:paraId="52E5038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宿城区发展和</w:t>
            </w:r>
          </w:p>
          <w:p w14:paraId="1F59EC9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BFBF0B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1.宿城区发展和改革局负责开展固定资产投资项目节能审查工作。</w:t>
            </w:r>
          </w:p>
          <w:p w14:paraId="4D0F5B4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2.宿城区发展和改革局负责开展新能源发电项目建设。</w:t>
            </w:r>
          </w:p>
          <w:p w14:paraId="25908D3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3.宿城区工业和信息化局负责清理违法违规产能，明确淘汰落后和过剩产能标准并列出名单。</w:t>
            </w:r>
          </w:p>
          <w:p w14:paraId="0451105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4.宿城区工业和信息化局负责推进能耗强度管理、区域淘汰落后产能、化解过剩产能等工作。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F595F2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1.开展节能政策宣传，推广节能材料使用。</w:t>
            </w:r>
          </w:p>
          <w:p w14:paraId="2B4C101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2.配合开展辖区内固定资产投资项目节能巡查工作，上报违法违规问题。</w:t>
            </w:r>
          </w:p>
        </w:tc>
      </w:tr>
      <w:tr w14:paraId="65789EB1">
        <w:tblPrEx>
          <w:tblCellMar>
            <w:top w:w="0" w:type="dxa"/>
            <w:left w:w="108" w:type="dxa"/>
            <w:bottom w:w="0" w:type="dxa"/>
            <w:right w:w="108" w:type="dxa"/>
          </w:tblCellMar>
        </w:tblPrEx>
        <w:trPr>
          <w:cantSplit/>
          <w:trHeight w:val="145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B9E56C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48BEAB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开展全区重大产业项目协调推动工作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3140D0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宿城区发展和</w:t>
            </w:r>
          </w:p>
          <w:p w14:paraId="024C09F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50505F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1.编排省市区重大产业项目，加强对项目进度跟踪、报送和管理。</w:t>
            </w:r>
          </w:p>
          <w:p w14:paraId="5FAD814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2.指导省市区重大项目协调推进，监测分析建设实施情况，做好项目推进及下一年度项目编排谋划。</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F8C11F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1.为辖区内产业项目建设提供帮办服务，报送项目建设进展情况。</w:t>
            </w:r>
          </w:p>
          <w:p w14:paraId="2CA6388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2.按照上级要求，编排集中开工项目、下一年度重大产业项目，做好观摩点位准备。</w:t>
            </w:r>
          </w:p>
        </w:tc>
      </w:tr>
      <w:tr w14:paraId="5D40311A">
        <w:tblPrEx>
          <w:tblCellMar>
            <w:top w:w="0" w:type="dxa"/>
            <w:left w:w="108" w:type="dxa"/>
            <w:bottom w:w="0" w:type="dxa"/>
            <w:right w:w="108" w:type="dxa"/>
          </w:tblCellMar>
        </w:tblPrEx>
        <w:trPr>
          <w:cantSplit/>
          <w:trHeight w:val="176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153C26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B29EE9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推进企业股改上市、股权融资、政银企融资对接、数字人民币应用和防范非法金融风险工作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E5F045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w:t>
            </w:r>
            <w:r>
              <w:rPr>
                <w:rFonts w:hint="default" w:ascii="Times New Roman" w:hAnsi="Times New Roman" w:eastAsia="方正仿宋_GBK" w:cs="Times New Roman"/>
                <w:color w:val="auto"/>
                <w:kern w:val="0"/>
                <w:szCs w:val="21"/>
                <w:highlight w:val="none"/>
                <w:lang w:val="en-US" w:eastAsia="zh-CN"/>
              </w:rPr>
              <w:t>人民</w:t>
            </w:r>
            <w:r>
              <w:rPr>
                <w:rFonts w:hint="default" w:ascii="Times New Roman" w:hAnsi="Times New Roman" w:eastAsia="方正仿宋_GBK" w:cs="Times New Roman"/>
                <w:color w:val="auto"/>
                <w:kern w:val="0"/>
                <w:szCs w:val="21"/>
                <w:highlight w:val="none"/>
              </w:rPr>
              <w:t>政府办公室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DA07C1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1.开展金融营商环境建设，推进企业挂牌上市，提升企业股权融资额，做好全区企业股改上市工作。</w:t>
            </w:r>
          </w:p>
          <w:p w14:paraId="3237DFA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2.推进数字人民币应用增量扩面，稳妥防范化解金融风险。</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E7DDA9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1.协助开展银企对接活动，引导企业股改上市。</w:t>
            </w:r>
          </w:p>
          <w:p w14:paraId="1386D11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2.配合做好辖区内上市后备企业的培育工作。</w:t>
            </w:r>
          </w:p>
          <w:p w14:paraId="49A0E88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3.开展数字人民币宣传工作，提升数字人民币覆盖面。</w:t>
            </w:r>
          </w:p>
          <w:p w14:paraId="4C18B86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4.开展防范非法金融活动政策宣传，</w:t>
            </w:r>
            <w:r>
              <w:rPr>
                <w:rFonts w:hint="default" w:ascii="Times New Roman" w:hAnsi="Times New Roman" w:eastAsia="方正仿宋_GBK" w:cs="Times New Roman"/>
                <w:b w:val="0"/>
                <w:bCs w:val="0"/>
                <w:color w:val="auto"/>
                <w:kern w:val="0"/>
                <w:szCs w:val="21"/>
                <w:highlight w:val="none"/>
                <w:lang w:val="en-US" w:eastAsia="zh-CN"/>
              </w:rPr>
              <w:t>并</w:t>
            </w:r>
            <w:r>
              <w:rPr>
                <w:rFonts w:hint="default" w:ascii="Times New Roman" w:hAnsi="Times New Roman" w:eastAsia="方正仿宋_GBK" w:cs="Times New Roman"/>
                <w:b w:val="0"/>
                <w:bCs w:val="0"/>
                <w:color w:val="auto"/>
                <w:kern w:val="0"/>
                <w:szCs w:val="21"/>
                <w:highlight w:val="none"/>
              </w:rPr>
              <w:t>做好日常巡查</w:t>
            </w:r>
            <w:r>
              <w:rPr>
                <w:rFonts w:hint="default" w:ascii="Times New Roman" w:hAnsi="Times New Roman" w:eastAsia="方正仿宋_GBK" w:cs="Times New Roman"/>
                <w:b w:val="0"/>
                <w:bCs w:val="0"/>
                <w:color w:val="auto"/>
                <w:kern w:val="0"/>
                <w:szCs w:val="21"/>
                <w:highlight w:val="none"/>
                <w:lang w:eastAsia="zh-CN"/>
              </w:rPr>
              <w:t>、</w:t>
            </w:r>
            <w:r>
              <w:rPr>
                <w:rFonts w:hint="default" w:ascii="Times New Roman" w:hAnsi="Times New Roman" w:eastAsia="方正仿宋_GBK" w:cs="Times New Roman"/>
                <w:b w:val="0"/>
                <w:bCs w:val="0"/>
                <w:color w:val="auto"/>
                <w:kern w:val="0"/>
                <w:szCs w:val="21"/>
                <w:highlight w:val="none"/>
                <w:lang w:val="en-US" w:eastAsia="zh-CN"/>
              </w:rPr>
              <w:t>配合处置</w:t>
            </w:r>
            <w:r>
              <w:rPr>
                <w:rFonts w:hint="default" w:ascii="Times New Roman" w:hAnsi="Times New Roman" w:eastAsia="方正仿宋_GBK" w:cs="Times New Roman"/>
                <w:b w:val="0"/>
                <w:bCs w:val="0"/>
                <w:color w:val="auto"/>
                <w:kern w:val="0"/>
                <w:szCs w:val="21"/>
                <w:highlight w:val="none"/>
              </w:rPr>
              <w:t>工作</w:t>
            </w:r>
            <w:r>
              <w:rPr>
                <w:rFonts w:hint="default" w:ascii="Times New Roman" w:hAnsi="Times New Roman" w:eastAsia="方正仿宋_GBK" w:cs="Times New Roman"/>
                <w:color w:val="auto"/>
                <w:kern w:val="0"/>
                <w:szCs w:val="21"/>
                <w:highlight w:val="none"/>
              </w:rPr>
              <w:t>。</w:t>
            </w:r>
          </w:p>
        </w:tc>
      </w:tr>
      <w:tr w14:paraId="2C3A3F5D">
        <w:tblPrEx>
          <w:tblCellMar>
            <w:top w:w="0" w:type="dxa"/>
            <w:left w:w="108" w:type="dxa"/>
            <w:bottom w:w="0" w:type="dxa"/>
            <w:right w:w="108" w:type="dxa"/>
          </w:tblCellMar>
        </w:tblPrEx>
        <w:trPr>
          <w:cantSplit/>
          <w:trHeight w:val="216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31F45B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60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E50D20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国有企业生产运行情况监管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6D4D49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CBE407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1.规范国有企业负责人薪酬管理，建立国有企业工资总额决定机制，依法调控国有企业工资分配水平。</w:t>
            </w:r>
          </w:p>
          <w:p w14:paraId="7C43CA3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2.规范国有企业招采行为管理以及其他重大事项管理等。</w:t>
            </w:r>
          </w:p>
          <w:p w14:paraId="3C6C12A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3.核定国有企业内设机构和人员配置，规范国有企业对外招聘员工管理。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086DE0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1.配合提供</w:t>
            </w:r>
            <w:r>
              <w:rPr>
                <w:rFonts w:hint="default" w:ascii="Times New Roman" w:hAnsi="Times New Roman" w:eastAsia="方正仿宋_GBK" w:cs="Times New Roman"/>
                <w:color w:val="auto"/>
                <w:kern w:val="0"/>
                <w:szCs w:val="21"/>
                <w:highlight w:val="none"/>
                <w:lang w:val="en-US" w:eastAsia="zh-CN"/>
              </w:rPr>
              <w:t>所</w:t>
            </w:r>
            <w:r>
              <w:rPr>
                <w:rFonts w:hint="default" w:ascii="Times New Roman" w:hAnsi="Times New Roman" w:eastAsia="方正仿宋_GBK" w:cs="Times New Roman"/>
                <w:color w:val="auto"/>
                <w:kern w:val="0"/>
                <w:szCs w:val="21"/>
                <w:highlight w:val="none"/>
              </w:rPr>
              <w:t>属国有企业领导班子和员工薪资发放情况。</w:t>
            </w:r>
          </w:p>
          <w:p w14:paraId="063A8F7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w:t>
            </w:r>
            <w:r>
              <w:rPr>
                <w:rFonts w:hint="default" w:ascii="Times New Roman" w:hAnsi="Times New Roman" w:eastAsia="方正仿宋_GBK" w:cs="Times New Roman"/>
                <w:color w:val="auto"/>
                <w:kern w:val="0"/>
                <w:szCs w:val="21"/>
                <w:highlight w:val="none"/>
                <w:lang w:eastAsia="zh-CN"/>
              </w:rPr>
              <w:t>配合提供所属全资国企的内设机构设置、人员配置和招标采购情况</w:t>
            </w:r>
            <w:r>
              <w:rPr>
                <w:rFonts w:hint="default" w:ascii="Times New Roman" w:hAnsi="Times New Roman" w:eastAsia="方正仿宋_GBK" w:cs="Times New Roman"/>
                <w:color w:val="auto"/>
                <w:kern w:val="0"/>
                <w:szCs w:val="21"/>
                <w:highlight w:val="none"/>
              </w:rPr>
              <w:t>。</w:t>
            </w:r>
          </w:p>
          <w:p w14:paraId="5208B87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3.梳理提供</w:t>
            </w:r>
            <w:r>
              <w:rPr>
                <w:rFonts w:hint="default" w:ascii="Times New Roman" w:hAnsi="Times New Roman" w:eastAsia="方正仿宋_GBK" w:cs="Times New Roman"/>
                <w:color w:val="auto"/>
                <w:kern w:val="0"/>
                <w:szCs w:val="21"/>
                <w:highlight w:val="none"/>
                <w:lang w:val="en-US" w:eastAsia="zh-CN"/>
              </w:rPr>
              <w:t>所</w:t>
            </w:r>
            <w:r>
              <w:rPr>
                <w:rFonts w:hint="default" w:ascii="Times New Roman" w:hAnsi="Times New Roman" w:eastAsia="方正仿宋_GBK" w:cs="Times New Roman"/>
                <w:color w:val="auto"/>
                <w:kern w:val="0"/>
                <w:szCs w:val="21"/>
                <w:highlight w:val="none"/>
              </w:rPr>
              <w:t>属国有企业对外招聘员工管理使用和重大事项管理台账资料。</w:t>
            </w:r>
          </w:p>
        </w:tc>
      </w:tr>
    </w:tbl>
    <w:p w14:paraId="70A2BC81">
      <w:pPr>
        <w:pStyle w:val="3"/>
        <w:spacing w:before="0" w:after="0" w:line="240" w:lineRule="auto"/>
        <w:jc w:val="center"/>
        <w:rPr>
          <w:rFonts w:hint="default" w:ascii="Times New Roman" w:hAnsi="Times New Roman" w:eastAsia="方正小标宋_GBK" w:cs="Times New Roman"/>
          <w:color w:val="auto"/>
          <w:spacing w:val="7"/>
          <w:highlight w:val="none"/>
          <w:lang w:eastAsia="zh-CN"/>
        </w:rPr>
      </w:pPr>
      <w:r>
        <w:rPr>
          <w:rFonts w:hint="default" w:ascii="Times New Roman" w:hAnsi="Times New Roman" w:eastAsia="方正小标宋_GBK" w:cs="Times New Roman"/>
          <w:color w:val="auto"/>
          <w:spacing w:val="7"/>
          <w:lang w:eastAsia="zh-CN"/>
        </w:rPr>
        <w:br w:type="page"/>
      </w:r>
      <w:r>
        <w:rPr>
          <w:rFonts w:hint="default" w:ascii="Times New Roman" w:hAnsi="Times New Roman" w:eastAsia="方正小标宋_GBK" w:cs="Times New Roman"/>
          <w:b w:val="0"/>
          <w:bCs w:val="0"/>
          <w:color w:val="auto"/>
          <w:spacing w:val="7"/>
          <w:lang w:val="en-US" w:eastAsia="zh-CN"/>
        </w:rPr>
        <w:t>上级部门收回事项清单</w:t>
      </w:r>
    </w:p>
    <w:tbl>
      <w:tblPr>
        <w:tblStyle w:val="13"/>
        <w:tblW w:w="14258" w:type="dxa"/>
        <w:jc w:val="center"/>
        <w:tblLayout w:type="fixed"/>
        <w:tblCellMar>
          <w:top w:w="0" w:type="dxa"/>
          <w:left w:w="108" w:type="dxa"/>
          <w:bottom w:w="0" w:type="dxa"/>
          <w:right w:w="108" w:type="dxa"/>
        </w:tblCellMar>
      </w:tblPr>
      <w:tblGrid>
        <w:gridCol w:w="762"/>
        <w:gridCol w:w="4860"/>
        <w:gridCol w:w="8636"/>
      </w:tblGrid>
      <w:tr w14:paraId="76C1A4F0">
        <w:tblPrEx>
          <w:tblCellMar>
            <w:top w:w="0" w:type="dxa"/>
            <w:left w:w="108" w:type="dxa"/>
            <w:bottom w:w="0" w:type="dxa"/>
            <w:right w:w="108" w:type="dxa"/>
          </w:tblCellMar>
        </w:tblPrEx>
        <w:trPr>
          <w:cantSplit/>
          <w:trHeight w:val="658" w:hRule="atLeast"/>
          <w:tblHeader/>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0C80">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19BC">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bidi="ar"/>
              </w:rPr>
              <w:t>事项名称</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9202">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方正黑体_GBK" w:cs="Times New Roman"/>
                <w:color w:val="auto"/>
                <w:sz w:val="24"/>
                <w:szCs w:val="24"/>
                <w:highlight w:val="none"/>
                <w:lang w:eastAsia="zh-CN" w:bidi="ar"/>
              </w:rPr>
            </w:pPr>
            <w:r>
              <w:rPr>
                <w:rFonts w:hint="default" w:ascii="Times New Roman" w:hAnsi="Times New Roman" w:eastAsia="方正黑体_GBK" w:cs="Times New Roman"/>
                <w:color w:val="auto"/>
                <w:sz w:val="24"/>
                <w:szCs w:val="24"/>
                <w:highlight w:val="none"/>
                <w:lang w:eastAsia="zh-CN" w:bidi="ar"/>
              </w:rPr>
              <w:t>承接部门及工作方式</w:t>
            </w:r>
          </w:p>
        </w:tc>
      </w:tr>
      <w:tr w14:paraId="4FC614A1">
        <w:tblPrEx>
          <w:tblCellMar>
            <w:top w:w="0" w:type="dxa"/>
            <w:left w:w="108" w:type="dxa"/>
            <w:bottom w:w="0" w:type="dxa"/>
            <w:right w:w="108" w:type="dxa"/>
          </w:tblCellMar>
        </w:tblPrEx>
        <w:trPr>
          <w:cantSplit/>
          <w:trHeight w:val="482"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53B5F">
            <w:pPr>
              <w:keepNext w:val="0"/>
              <w:keepLines w:val="0"/>
              <w:pageBreakBefore w:val="0"/>
              <w:widowControl/>
              <w:kinsoku/>
              <w:wordWrap/>
              <w:overflowPunct/>
              <w:topLinePunct w:val="0"/>
              <w:autoSpaceDE w:val="0"/>
              <w:autoSpaceDN w:val="0"/>
              <w:bidi w:val="0"/>
              <w:adjustRightInd w:val="0"/>
              <w:snapToGrid w:val="0"/>
              <w:rPr>
                <w:rStyle w:val="21"/>
                <w:rFonts w:hint="default" w:ascii="Times New Roman" w:hAnsi="Times New Roman" w:eastAsia="方正黑体_GBK" w:cs="Times New Roman"/>
                <w:color w:val="auto"/>
                <w:sz w:val="24"/>
                <w:szCs w:val="24"/>
                <w:highlight w:val="none"/>
                <w:lang w:eastAsia="zh-CN" w:bidi="ar"/>
              </w:rPr>
            </w:pPr>
            <w:r>
              <w:rPr>
                <w:rStyle w:val="21"/>
                <w:rFonts w:hint="default" w:ascii="Times New Roman" w:hAnsi="Times New Roman" w:eastAsia="方正黑体_GBK" w:cs="Times New Roman"/>
                <w:color w:val="auto"/>
                <w:sz w:val="24"/>
                <w:szCs w:val="24"/>
                <w:highlight w:val="none"/>
                <w:lang w:eastAsia="zh-CN" w:bidi="ar"/>
              </w:rPr>
              <w:t>一、经济发展（4项）</w:t>
            </w:r>
          </w:p>
        </w:tc>
      </w:tr>
      <w:tr w14:paraId="4AA2792E">
        <w:tblPrEx>
          <w:tblCellMar>
            <w:top w:w="0" w:type="dxa"/>
            <w:left w:w="108" w:type="dxa"/>
            <w:bottom w:w="0" w:type="dxa"/>
            <w:right w:w="108" w:type="dxa"/>
          </w:tblCellMar>
        </w:tblPrEx>
        <w:trPr>
          <w:cantSplit/>
          <w:trHeight w:val="8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127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42D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银发经济发展调研，重点摸清产业发展情况</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F0B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承接部门：宿城区发展和改革局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工作方式：落实《省政府办公厅关于印发促进银发经济高质量发展实施方案的通知》要求，加强与市发改委对接，开展工作调研，完善政策措施，牵头推进宿城区银发经济发展。</w:t>
            </w:r>
          </w:p>
        </w:tc>
      </w:tr>
      <w:tr w14:paraId="46B27134">
        <w:tblPrEx>
          <w:tblCellMar>
            <w:top w:w="0" w:type="dxa"/>
            <w:left w:w="108" w:type="dxa"/>
            <w:bottom w:w="0" w:type="dxa"/>
            <w:right w:w="108" w:type="dxa"/>
          </w:tblCellMar>
        </w:tblPrEx>
        <w:trPr>
          <w:cantSplit/>
          <w:trHeight w:val="10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31E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4D7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做好重大能源电力保供工作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146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承接部门：宿城区发展和改革局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工作方式：按照《关于做好2024年电力负荷管理工作的通知》精神，配合市供电公司做好电力需求响应，督促有关企业压降不合理用电需求，确保“迎峰度夏（冬）”期间电力供需形势稳定。</w:t>
            </w:r>
          </w:p>
        </w:tc>
      </w:tr>
      <w:tr w14:paraId="7B22285A">
        <w:tblPrEx>
          <w:tblCellMar>
            <w:top w:w="0" w:type="dxa"/>
            <w:left w:w="108" w:type="dxa"/>
            <w:bottom w:w="0" w:type="dxa"/>
            <w:right w:w="108" w:type="dxa"/>
          </w:tblCellMar>
        </w:tblPrEx>
        <w:trPr>
          <w:cantSplit/>
          <w:trHeight w:val="11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C49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D3E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企业投资建设固定资产投资项目备案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8C4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承接部门：宿城区数据局（政务办）</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做好备案工作（宿城经济开发区工业项目备案除外），主动将相关信息向社会公示。</w:t>
            </w:r>
          </w:p>
        </w:tc>
      </w:tr>
      <w:tr w14:paraId="0181A162">
        <w:tblPrEx>
          <w:tblCellMar>
            <w:top w:w="0" w:type="dxa"/>
            <w:left w:w="108" w:type="dxa"/>
            <w:bottom w:w="0" w:type="dxa"/>
            <w:right w:w="108" w:type="dxa"/>
          </w:tblCellMar>
        </w:tblPrEx>
        <w:trPr>
          <w:cantSplit/>
          <w:trHeight w:val="87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372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C7A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保障宽带用户下载速率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175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承接部门：宿城区工业和信息化局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工作方式：会同相关单位按照《江苏省制造业智能化改造和数字化转型三年行动计划（2022-2024年）》要求做好宽带用户下载速率保障工作。</w:t>
            </w:r>
          </w:p>
        </w:tc>
      </w:tr>
      <w:tr w14:paraId="0DEADE05">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F3A3F4">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二、平安法治（3项）</w:t>
            </w:r>
          </w:p>
        </w:tc>
      </w:tr>
      <w:tr w14:paraId="1F38B9E9">
        <w:tblPrEx>
          <w:tblCellMar>
            <w:top w:w="0" w:type="dxa"/>
            <w:left w:w="108" w:type="dxa"/>
            <w:bottom w:w="0" w:type="dxa"/>
            <w:right w:w="108" w:type="dxa"/>
          </w:tblCellMar>
        </w:tblPrEx>
        <w:trPr>
          <w:cantSplit/>
          <w:trHeight w:val="8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9A8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F40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深化依法治企，健全企业依法管理体系，配备国有企业总法律顾问，配备规上企业法律顾问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0CD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承接部门：宿城区司法局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工作方式：公法科负责将该项任务纳入工作计划，明确目标任务，组建工作专班，会同企业审批管理相关部门落实相关工作。</w:t>
            </w:r>
          </w:p>
        </w:tc>
      </w:tr>
      <w:tr w14:paraId="776D6143">
        <w:tblPrEx>
          <w:tblCellMar>
            <w:top w:w="0" w:type="dxa"/>
            <w:left w:w="108" w:type="dxa"/>
            <w:bottom w:w="0" w:type="dxa"/>
            <w:right w:w="108" w:type="dxa"/>
          </w:tblCellMar>
        </w:tblPrEx>
        <w:trPr>
          <w:cantSplit/>
          <w:trHeight w:val="58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5E4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C83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3989" name="图片_1"/>
                  <wp:cNvGraphicFramePr/>
                  <a:graphic xmlns:a="http://schemas.openxmlformats.org/drawingml/2006/main">
                    <a:graphicData uri="http://schemas.openxmlformats.org/drawingml/2006/picture">
                      <pic:pic xmlns:pic="http://schemas.openxmlformats.org/drawingml/2006/picture">
                        <pic:nvPicPr>
                          <pic:cNvPr id="3989"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3990" name="图片_1_SpCnt_1"/>
                  <wp:cNvGraphicFramePr/>
                  <a:graphic xmlns:a="http://schemas.openxmlformats.org/drawingml/2006/main">
                    <a:graphicData uri="http://schemas.openxmlformats.org/drawingml/2006/picture">
                      <pic:pic xmlns:pic="http://schemas.openxmlformats.org/drawingml/2006/picture">
                        <pic:nvPicPr>
                          <pic:cNvPr id="3990" name="图片_1_SpCnt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3991" name="图片_1_SpCnt_2"/>
                  <wp:cNvGraphicFramePr/>
                  <a:graphic xmlns:a="http://schemas.openxmlformats.org/drawingml/2006/main">
                    <a:graphicData uri="http://schemas.openxmlformats.org/drawingml/2006/picture">
                      <pic:pic xmlns:pic="http://schemas.openxmlformats.org/drawingml/2006/picture">
                        <pic:nvPicPr>
                          <pic:cNvPr id="3991" name="图片_1_SpCnt_2"/>
                          <pic:cNvPicPr/>
                        </pic:nvPicPr>
                        <pic:blipFill>
                          <a:blip r:embed="rId7"/>
                          <a:stretch>
                            <a:fillRect/>
                          </a:stretch>
                        </pic:blipFill>
                        <pic:spPr>
                          <a:xfrm>
                            <a:off x="0" y="0"/>
                            <a:ext cx="20320" cy="336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992" name="图片_30"/>
                  <wp:cNvGraphicFramePr/>
                  <a:graphic xmlns:a="http://schemas.openxmlformats.org/drawingml/2006/main">
                    <a:graphicData uri="http://schemas.openxmlformats.org/drawingml/2006/picture">
                      <pic:pic xmlns:pic="http://schemas.openxmlformats.org/drawingml/2006/picture">
                        <pic:nvPicPr>
                          <pic:cNvPr id="3992" name="图片_30"/>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993" name="图片_1_SpCnt_3"/>
                  <wp:cNvGraphicFramePr/>
                  <a:graphic xmlns:a="http://schemas.openxmlformats.org/drawingml/2006/main">
                    <a:graphicData uri="http://schemas.openxmlformats.org/drawingml/2006/picture">
                      <pic:pic xmlns:pic="http://schemas.openxmlformats.org/drawingml/2006/picture">
                        <pic:nvPicPr>
                          <pic:cNvPr id="3993"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出具法律援助经济状况证明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29F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根据《法律援助法》相关规定，不再开展此项工作。</w:t>
            </w:r>
          </w:p>
        </w:tc>
      </w:tr>
      <w:tr w14:paraId="73B31ECA">
        <w:tblPrEx>
          <w:tblCellMar>
            <w:top w:w="0" w:type="dxa"/>
            <w:left w:w="108" w:type="dxa"/>
            <w:bottom w:w="0" w:type="dxa"/>
            <w:right w:w="108" w:type="dxa"/>
          </w:tblCellMar>
        </w:tblPrEx>
        <w:trPr>
          <w:cantSplit/>
          <w:trHeight w:val="9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A29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0BC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对地震监测设施和地震观测环境的保护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29A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承接部门：宿城区应急管理局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工作方式：按照年度工作计划，通过“双随机、一公开”等方式，加强监督检查，依法依规开展对地震监测设施和地震观测环境的保护。</w:t>
            </w:r>
          </w:p>
        </w:tc>
      </w:tr>
      <w:tr w14:paraId="62A0A1BC">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04F9F">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三、乡村振兴（15项）</w:t>
            </w:r>
          </w:p>
        </w:tc>
      </w:tr>
      <w:tr w14:paraId="12C7D4CF">
        <w:tblPrEx>
          <w:tblCellMar>
            <w:top w:w="0" w:type="dxa"/>
            <w:left w:w="108" w:type="dxa"/>
            <w:bottom w:w="0" w:type="dxa"/>
            <w:right w:w="108" w:type="dxa"/>
          </w:tblCellMar>
        </w:tblPrEx>
        <w:trPr>
          <w:cantSplit/>
          <w:trHeight w:val="111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C86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046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994" name="图片_1"/>
                  <wp:cNvGraphicFramePr/>
                  <a:graphic xmlns:a="http://schemas.openxmlformats.org/drawingml/2006/main">
                    <a:graphicData uri="http://schemas.openxmlformats.org/drawingml/2006/picture">
                      <pic:pic xmlns:pic="http://schemas.openxmlformats.org/drawingml/2006/picture">
                        <pic:nvPicPr>
                          <pic:cNvPr id="3994" name="图片_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3995" name="图片_1_SpCnt_1"/>
                  <wp:cNvGraphicFramePr/>
                  <a:graphic xmlns:a="http://schemas.openxmlformats.org/drawingml/2006/main">
                    <a:graphicData uri="http://schemas.openxmlformats.org/drawingml/2006/picture">
                      <pic:pic xmlns:pic="http://schemas.openxmlformats.org/drawingml/2006/picture">
                        <pic:nvPicPr>
                          <pic:cNvPr id="3995" name="图片_1_SpCnt_1"/>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996" name="图片_1_SpCnt_2"/>
                  <wp:cNvGraphicFramePr/>
                  <a:graphic xmlns:a="http://schemas.openxmlformats.org/drawingml/2006/main">
                    <a:graphicData uri="http://schemas.openxmlformats.org/drawingml/2006/picture">
                      <pic:pic xmlns:pic="http://schemas.openxmlformats.org/drawingml/2006/picture">
                        <pic:nvPicPr>
                          <pic:cNvPr id="3996" name="图片_1_SpCnt_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997" name="图片_1_SpCnt_3"/>
                  <wp:cNvGraphicFramePr/>
                  <a:graphic xmlns:a="http://schemas.openxmlformats.org/drawingml/2006/main">
                    <a:graphicData uri="http://schemas.openxmlformats.org/drawingml/2006/picture">
                      <pic:pic xmlns:pic="http://schemas.openxmlformats.org/drawingml/2006/picture">
                        <pic:nvPicPr>
                          <pic:cNvPr id="3997"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3998" name="图片_1_SpCnt_4"/>
                  <wp:cNvGraphicFramePr/>
                  <a:graphic xmlns:a="http://schemas.openxmlformats.org/drawingml/2006/main">
                    <a:graphicData uri="http://schemas.openxmlformats.org/drawingml/2006/picture">
                      <pic:pic xmlns:pic="http://schemas.openxmlformats.org/drawingml/2006/picture">
                        <pic:nvPicPr>
                          <pic:cNvPr id="3998" name="图片_1_SpCnt_4"/>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999" name="图片_1_SpCnt_5"/>
                  <wp:cNvGraphicFramePr/>
                  <a:graphic xmlns:a="http://schemas.openxmlformats.org/drawingml/2006/main">
                    <a:graphicData uri="http://schemas.openxmlformats.org/drawingml/2006/picture">
                      <pic:pic xmlns:pic="http://schemas.openxmlformats.org/drawingml/2006/picture">
                        <pic:nvPicPr>
                          <pic:cNvPr id="3999" name="图片_1_SpCnt_5"/>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4000" name="图片_1_SpCnt_6"/>
                  <wp:cNvGraphicFramePr/>
                  <a:graphic xmlns:a="http://schemas.openxmlformats.org/drawingml/2006/main">
                    <a:graphicData uri="http://schemas.openxmlformats.org/drawingml/2006/picture">
                      <pic:pic xmlns:pic="http://schemas.openxmlformats.org/drawingml/2006/picture">
                        <pic:nvPicPr>
                          <pic:cNvPr id="4000" name="图片_1_SpCnt_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8415"/>
                  <wp:effectExtent l="0" t="0" r="0" b="0"/>
                  <wp:wrapNone/>
                  <wp:docPr id="4001" name="图片_1_SpCnt_7"/>
                  <wp:cNvGraphicFramePr/>
                  <a:graphic xmlns:a="http://schemas.openxmlformats.org/drawingml/2006/main">
                    <a:graphicData uri="http://schemas.openxmlformats.org/drawingml/2006/picture">
                      <pic:pic xmlns:pic="http://schemas.openxmlformats.org/drawingml/2006/picture">
                        <pic:nvPicPr>
                          <pic:cNvPr id="4001" name="图片_1_SpCnt_7"/>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4002" name="图片_1_SpCnt_8"/>
                  <wp:cNvGraphicFramePr/>
                  <a:graphic xmlns:a="http://schemas.openxmlformats.org/drawingml/2006/main">
                    <a:graphicData uri="http://schemas.openxmlformats.org/drawingml/2006/picture">
                      <pic:pic xmlns:pic="http://schemas.openxmlformats.org/drawingml/2006/picture">
                        <pic:nvPicPr>
                          <pic:cNvPr id="4002" name="图片_1_SpCnt_8"/>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4003" name="图片_1_SpCnt_9"/>
                  <wp:cNvGraphicFramePr/>
                  <a:graphic xmlns:a="http://schemas.openxmlformats.org/drawingml/2006/main">
                    <a:graphicData uri="http://schemas.openxmlformats.org/drawingml/2006/picture">
                      <pic:pic xmlns:pic="http://schemas.openxmlformats.org/drawingml/2006/picture">
                        <pic:nvPicPr>
                          <pic:cNvPr id="4003"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004" name="图片_1_SpCnt_10"/>
                  <wp:cNvGraphicFramePr/>
                  <a:graphic xmlns:a="http://schemas.openxmlformats.org/drawingml/2006/main">
                    <a:graphicData uri="http://schemas.openxmlformats.org/drawingml/2006/picture">
                      <pic:pic xmlns:pic="http://schemas.openxmlformats.org/drawingml/2006/picture">
                        <pic:nvPicPr>
                          <pic:cNvPr id="4004" name="图片_1_SpCnt_10"/>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4005" name="图片_1_SpCnt_11"/>
                  <wp:cNvGraphicFramePr/>
                  <a:graphic xmlns:a="http://schemas.openxmlformats.org/drawingml/2006/main">
                    <a:graphicData uri="http://schemas.openxmlformats.org/drawingml/2006/picture">
                      <pic:pic xmlns:pic="http://schemas.openxmlformats.org/drawingml/2006/picture">
                        <pic:nvPicPr>
                          <pic:cNvPr id="4005"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006" name="图片_1_SpCnt_12"/>
                  <wp:cNvGraphicFramePr/>
                  <a:graphic xmlns:a="http://schemas.openxmlformats.org/drawingml/2006/main">
                    <a:graphicData uri="http://schemas.openxmlformats.org/drawingml/2006/picture">
                      <pic:pic xmlns:pic="http://schemas.openxmlformats.org/drawingml/2006/picture">
                        <pic:nvPicPr>
                          <pic:cNvPr id="4006" name="图片_1_SpCnt_1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007" name="图片_1_SpCnt_13"/>
                  <wp:cNvGraphicFramePr/>
                  <a:graphic xmlns:a="http://schemas.openxmlformats.org/drawingml/2006/main">
                    <a:graphicData uri="http://schemas.openxmlformats.org/drawingml/2006/picture">
                      <pic:pic xmlns:pic="http://schemas.openxmlformats.org/drawingml/2006/picture">
                        <pic:nvPicPr>
                          <pic:cNvPr id="4007" name="图片_1_SpCnt_1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4008" name="图片_9"/>
                  <wp:cNvGraphicFramePr/>
                  <a:graphic xmlns:a="http://schemas.openxmlformats.org/drawingml/2006/main">
                    <a:graphicData uri="http://schemas.openxmlformats.org/drawingml/2006/picture">
                      <pic:pic xmlns:pic="http://schemas.openxmlformats.org/drawingml/2006/picture">
                        <pic:nvPicPr>
                          <pic:cNvPr id="4008"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4009" name="图片_1_SpCnt_14"/>
                  <wp:cNvGraphicFramePr/>
                  <a:graphic xmlns:a="http://schemas.openxmlformats.org/drawingml/2006/main">
                    <a:graphicData uri="http://schemas.openxmlformats.org/drawingml/2006/picture">
                      <pic:pic xmlns:pic="http://schemas.openxmlformats.org/drawingml/2006/picture">
                        <pic:nvPicPr>
                          <pic:cNvPr id="4009" name="图片_1_SpCnt_14"/>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4010" name="图片_1_SpCnt_15"/>
                  <wp:cNvGraphicFramePr/>
                  <a:graphic xmlns:a="http://schemas.openxmlformats.org/drawingml/2006/main">
                    <a:graphicData uri="http://schemas.openxmlformats.org/drawingml/2006/picture">
                      <pic:pic xmlns:pic="http://schemas.openxmlformats.org/drawingml/2006/picture">
                        <pic:nvPicPr>
                          <pic:cNvPr id="4010" name="图片_1_SpCnt_15"/>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4011" name="图片_1_SpCnt_16"/>
                  <wp:cNvGraphicFramePr/>
                  <a:graphic xmlns:a="http://schemas.openxmlformats.org/drawingml/2006/main">
                    <a:graphicData uri="http://schemas.openxmlformats.org/drawingml/2006/picture">
                      <pic:pic xmlns:pic="http://schemas.openxmlformats.org/drawingml/2006/picture">
                        <pic:nvPicPr>
                          <pic:cNvPr id="4011" name="图片_1_SpCnt_16"/>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4012" name="图片_1_SpCnt_17"/>
                  <wp:cNvGraphicFramePr/>
                  <a:graphic xmlns:a="http://schemas.openxmlformats.org/drawingml/2006/main">
                    <a:graphicData uri="http://schemas.openxmlformats.org/drawingml/2006/picture">
                      <pic:pic xmlns:pic="http://schemas.openxmlformats.org/drawingml/2006/picture">
                        <pic:nvPicPr>
                          <pic:cNvPr id="4012" name="图片_1_SpCnt_1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动物疫情信息采集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206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全区范围内的动物疫情报告和通报工作，承担动物疫情信息的收集、分析预警和报告。接到报告后，立即赶赴现场调查核实，初步认为属于重大动物疫情的，应当在2小时内按照规定程序将情况逐级上报，并及时通报同级卫生主管部门。</w:t>
            </w:r>
          </w:p>
        </w:tc>
      </w:tr>
      <w:tr w14:paraId="44F2A687">
        <w:tblPrEx>
          <w:tblCellMar>
            <w:top w:w="0" w:type="dxa"/>
            <w:left w:w="108" w:type="dxa"/>
            <w:bottom w:w="0" w:type="dxa"/>
            <w:right w:w="108" w:type="dxa"/>
          </w:tblCellMar>
        </w:tblPrEx>
        <w:trPr>
          <w:cantSplit/>
          <w:trHeight w:val="62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653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AE6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对农产品质量安全举报行为的奖励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EF2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工作方式：监管科牵头负责执行对农产品质量安全举报行为的具体奖励事宜。</w:t>
            </w:r>
          </w:p>
        </w:tc>
      </w:tr>
      <w:tr w14:paraId="6D639A9F">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57C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B6C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组织农作物种子生产管理、农作物种子质量纠纷田间现场鉴定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4AF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农业科牵头负责，当事人或利害关系人以书面形式提出申请，说明申请鉴定的理由和内容，并提供相关材料；申请人口头提出申请的，应当制作笔录，并由申请人签字确认；对申请人提交的申请进行审查后，根据情况分别处理。</w:t>
            </w:r>
          </w:p>
        </w:tc>
      </w:tr>
      <w:tr w14:paraId="665EDF75">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E1C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2C1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负责国家、省级农村集体资产监督管理平台等众多平台的日常维护工作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2E0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工作方式：农经中心牵头负责，根据业务内容提出申请，由国家、省级农村集体资产监督管理平台技术服务公司进行日常维护。</w:t>
            </w:r>
          </w:p>
        </w:tc>
      </w:tr>
      <w:tr w14:paraId="45697EED">
        <w:tblPrEx>
          <w:tblCellMar>
            <w:top w:w="0" w:type="dxa"/>
            <w:left w:w="108" w:type="dxa"/>
            <w:bottom w:w="0" w:type="dxa"/>
            <w:right w:w="108" w:type="dxa"/>
          </w:tblCellMar>
        </w:tblPrEx>
        <w:trPr>
          <w:cantSplit/>
          <w:trHeight w:val="9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503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C21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013" name="图片_1_SpCnt_24"/>
                  <wp:cNvGraphicFramePr/>
                  <a:graphic xmlns:a="http://schemas.openxmlformats.org/drawingml/2006/main">
                    <a:graphicData uri="http://schemas.openxmlformats.org/drawingml/2006/picture">
                      <pic:pic xmlns:pic="http://schemas.openxmlformats.org/drawingml/2006/picture">
                        <pic:nvPicPr>
                          <pic:cNvPr id="4013" name="图片_1_SpCnt_2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8415"/>
                  <wp:effectExtent l="0" t="0" r="0" b="0"/>
                  <wp:wrapNone/>
                  <wp:docPr id="4014" name="图片_1_SpCnt_25"/>
                  <wp:cNvGraphicFramePr/>
                  <a:graphic xmlns:a="http://schemas.openxmlformats.org/drawingml/2006/main">
                    <a:graphicData uri="http://schemas.openxmlformats.org/drawingml/2006/picture">
                      <pic:pic xmlns:pic="http://schemas.openxmlformats.org/drawingml/2006/picture">
                        <pic:nvPicPr>
                          <pic:cNvPr id="4014" name="图片_1_SpCnt_2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015" name="图片_1_SpCnt_26"/>
                  <wp:cNvGraphicFramePr/>
                  <a:graphic xmlns:a="http://schemas.openxmlformats.org/drawingml/2006/main">
                    <a:graphicData uri="http://schemas.openxmlformats.org/drawingml/2006/picture">
                      <pic:pic xmlns:pic="http://schemas.openxmlformats.org/drawingml/2006/picture">
                        <pic:nvPicPr>
                          <pic:cNvPr id="4015" name="图片_1_SpCnt_2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016" name="图片_1_SpCnt_27"/>
                  <wp:cNvGraphicFramePr/>
                  <a:graphic xmlns:a="http://schemas.openxmlformats.org/drawingml/2006/main">
                    <a:graphicData uri="http://schemas.openxmlformats.org/drawingml/2006/picture">
                      <pic:pic xmlns:pic="http://schemas.openxmlformats.org/drawingml/2006/picture">
                        <pic:nvPicPr>
                          <pic:cNvPr id="4016" name="图片_1_SpCnt_27"/>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5875"/>
                  <wp:effectExtent l="0" t="0" r="0" b="0"/>
                  <wp:wrapNone/>
                  <wp:docPr id="4017" name="图片_1_SpCnt_28"/>
                  <wp:cNvGraphicFramePr/>
                  <a:graphic xmlns:a="http://schemas.openxmlformats.org/drawingml/2006/main">
                    <a:graphicData uri="http://schemas.openxmlformats.org/drawingml/2006/picture">
                      <pic:pic xmlns:pic="http://schemas.openxmlformats.org/drawingml/2006/picture">
                        <pic:nvPicPr>
                          <pic:cNvPr id="4017" name="图片_1_SpCnt_28"/>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4018" name="图片_1_SpCnt_29"/>
                  <wp:cNvGraphicFramePr/>
                  <a:graphic xmlns:a="http://schemas.openxmlformats.org/drawingml/2006/main">
                    <a:graphicData uri="http://schemas.openxmlformats.org/drawingml/2006/picture">
                      <pic:pic xmlns:pic="http://schemas.openxmlformats.org/drawingml/2006/picture">
                        <pic:nvPicPr>
                          <pic:cNvPr id="4018"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4019" name="图片_1_SpCnt_30"/>
                  <wp:cNvGraphicFramePr/>
                  <a:graphic xmlns:a="http://schemas.openxmlformats.org/drawingml/2006/main">
                    <a:graphicData uri="http://schemas.openxmlformats.org/drawingml/2006/picture">
                      <pic:pic xmlns:pic="http://schemas.openxmlformats.org/drawingml/2006/picture">
                        <pic:nvPicPr>
                          <pic:cNvPr id="4019" name="图片_1_SpCnt_3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水生动物疫病及渔业灾害病害的监测、预报和预防</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D48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工作方式：负责辖区内水生动物疫病监测工作的组织、管理、监督工作，按时完成采样、送样任务，及时对结果进行分析。</w:t>
            </w:r>
          </w:p>
        </w:tc>
      </w:tr>
      <w:tr w14:paraId="6E7B6E62">
        <w:tblPrEx>
          <w:tblCellMar>
            <w:top w:w="0" w:type="dxa"/>
            <w:left w:w="108" w:type="dxa"/>
            <w:bottom w:w="0" w:type="dxa"/>
            <w:right w:w="108" w:type="dxa"/>
          </w:tblCellMar>
        </w:tblPrEx>
        <w:trPr>
          <w:cantSplit/>
          <w:trHeight w:val="9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74E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BE1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水产公共信息和水产技术宣传教育、培训服务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B36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工作方式：结合病害防控、渔业科技入户项目等，开展水产公共信息和水产技术宣传教育、培训服务。</w:t>
            </w:r>
          </w:p>
        </w:tc>
      </w:tr>
      <w:tr w14:paraId="3A279FB3">
        <w:tblPrEx>
          <w:tblCellMar>
            <w:top w:w="0" w:type="dxa"/>
            <w:left w:w="108" w:type="dxa"/>
            <w:bottom w:w="0" w:type="dxa"/>
            <w:right w:w="108" w:type="dxa"/>
          </w:tblCellMar>
        </w:tblPrEx>
        <w:trPr>
          <w:cantSplit/>
          <w:trHeight w:val="8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52D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04C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动物及动物产品检疫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9BC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工作方式：动检中心牵头负责，根据养殖场户申请，组织做好现场查验材料、畜禽标识、临床检查以及检疫结果处理（出证）工作。</w:t>
            </w:r>
          </w:p>
        </w:tc>
      </w:tr>
      <w:tr w14:paraId="41E97246">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CB1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12C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屠宰检疫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FBF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工作方式：动检中心牵头负责，组织做好屠宰检疫申报受理、宰前检查、同步检疫、检疫出证、加施检疫标志，并在检疫证明、检疫标志上签字或者盖章。</w:t>
            </w:r>
          </w:p>
        </w:tc>
      </w:tr>
      <w:tr w14:paraId="18481A99">
        <w:tblPrEx>
          <w:tblCellMar>
            <w:top w:w="0" w:type="dxa"/>
            <w:left w:w="108" w:type="dxa"/>
            <w:bottom w:w="0" w:type="dxa"/>
            <w:right w:w="108" w:type="dxa"/>
          </w:tblCellMar>
        </w:tblPrEx>
        <w:trPr>
          <w:cantSplit/>
          <w:trHeight w:val="96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37C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9BF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组织收集、处理并溯源在江河、湖泊、水库等水域发现的死亡畜禽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3C9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工作方式：对在江河、湖泊、水库等水域发现的死亡畜禽，迅速采取隔离等控制措施，并做好收集、处理与溯源工作。</w:t>
            </w:r>
          </w:p>
        </w:tc>
      </w:tr>
      <w:tr w14:paraId="242D107D">
        <w:tblPrEx>
          <w:tblCellMar>
            <w:top w:w="0" w:type="dxa"/>
            <w:left w:w="108" w:type="dxa"/>
            <w:bottom w:w="0" w:type="dxa"/>
            <w:right w:w="108" w:type="dxa"/>
          </w:tblCellMar>
        </w:tblPrEx>
        <w:trPr>
          <w:cantSplit/>
          <w:trHeight w:val="8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424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0E3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4020" name="图片_1_SpCnt_43"/>
                  <wp:cNvGraphicFramePr/>
                  <a:graphic xmlns:a="http://schemas.openxmlformats.org/drawingml/2006/main">
                    <a:graphicData uri="http://schemas.openxmlformats.org/drawingml/2006/picture">
                      <pic:pic xmlns:pic="http://schemas.openxmlformats.org/drawingml/2006/picture">
                        <pic:nvPicPr>
                          <pic:cNvPr id="4020" name="图片_1_SpCnt_43"/>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021" name="图片_1_SpCnt_44"/>
                  <wp:cNvGraphicFramePr/>
                  <a:graphic xmlns:a="http://schemas.openxmlformats.org/drawingml/2006/main">
                    <a:graphicData uri="http://schemas.openxmlformats.org/drawingml/2006/picture">
                      <pic:pic xmlns:pic="http://schemas.openxmlformats.org/drawingml/2006/picture">
                        <pic:nvPicPr>
                          <pic:cNvPr id="4021" name="图片_1_SpCnt_44"/>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022" name="图片_1_SpCnt_45"/>
                  <wp:cNvGraphicFramePr/>
                  <a:graphic xmlns:a="http://schemas.openxmlformats.org/drawingml/2006/main">
                    <a:graphicData uri="http://schemas.openxmlformats.org/drawingml/2006/picture">
                      <pic:pic xmlns:pic="http://schemas.openxmlformats.org/drawingml/2006/picture">
                        <pic:nvPicPr>
                          <pic:cNvPr id="4022" name="图片_1_SpCnt_45"/>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5875"/>
                  <wp:effectExtent l="0" t="0" r="0" b="0"/>
                  <wp:wrapNone/>
                  <wp:docPr id="4023" name="图片_1_SpCnt_46"/>
                  <wp:cNvGraphicFramePr/>
                  <a:graphic xmlns:a="http://schemas.openxmlformats.org/drawingml/2006/main">
                    <a:graphicData uri="http://schemas.openxmlformats.org/drawingml/2006/picture">
                      <pic:pic xmlns:pic="http://schemas.openxmlformats.org/drawingml/2006/picture">
                        <pic:nvPicPr>
                          <pic:cNvPr id="4023" name="图片_1_SpCnt_4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畜牧品种试验和推广应用</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173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工作方式：畜牧兽医站牵头负责，开展政策宣传指导，推广利用列入畜禽遗传资源保护名录的品种，增加特色畜禽产品供给，满足多元化消费需求。</w:t>
            </w:r>
          </w:p>
        </w:tc>
      </w:tr>
      <w:tr w14:paraId="2A96DD27">
        <w:tblPrEx>
          <w:tblCellMar>
            <w:top w:w="0" w:type="dxa"/>
            <w:left w:w="108" w:type="dxa"/>
            <w:bottom w:w="0" w:type="dxa"/>
            <w:right w:w="108" w:type="dxa"/>
          </w:tblCellMar>
        </w:tblPrEx>
        <w:trPr>
          <w:cantSplit/>
          <w:trHeight w:val="9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F65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B62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5240" cy="7620"/>
                  <wp:effectExtent l="0" t="0" r="0" b="0"/>
                  <wp:wrapNone/>
                  <wp:docPr id="4024" name="图片_1_SpCnt_48"/>
                  <wp:cNvGraphicFramePr/>
                  <a:graphic xmlns:a="http://schemas.openxmlformats.org/drawingml/2006/main">
                    <a:graphicData uri="http://schemas.openxmlformats.org/drawingml/2006/picture">
                      <pic:pic xmlns:pic="http://schemas.openxmlformats.org/drawingml/2006/picture">
                        <pic:nvPicPr>
                          <pic:cNvPr id="4024" name="图片_1_SpCnt_48"/>
                          <pic:cNvPicPr/>
                        </pic:nvPicPr>
                        <pic:blipFill>
                          <a:blip r:embed="rId13"/>
                          <a:stretch>
                            <a:fillRect/>
                          </a:stretch>
                        </pic:blipFill>
                        <pic:spPr>
                          <a:xfrm>
                            <a:off x="0" y="0"/>
                            <a:ext cx="15240" cy="762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开展除兽用生物制品、特殊药品外的兽药经营管理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624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工作方式：动检中心牵头负责，兽药经营以书面形式提出申请，并提供相关材料；对申请人提交的申请材料进行现场审查后，</w:t>
            </w:r>
            <w:r>
              <w:rPr>
                <w:rFonts w:hint="eastAsia" w:ascii="Times New Roman" w:hAnsi="Times New Roman" w:eastAsia="方正仿宋_GBK" w:cs="Times New Roman"/>
                <w:snapToGrid w:val="0"/>
                <w:color w:val="auto"/>
                <w:kern w:val="0"/>
                <w:szCs w:val="21"/>
                <w:lang w:val="en-US" w:eastAsia="zh-CN" w:bidi="ar"/>
              </w:rPr>
              <w:t>适时</w:t>
            </w:r>
            <w:r>
              <w:rPr>
                <w:rFonts w:hint="default" w:ascii="Times New Roman" w:hAnsi="Times New Roman" w:eastAsia="方正仿宋_GBK" w:cs="Times New Roman"/>
                <w:snapToGrid w:val="0"/>
                <w:color w:val="auto"/>
                <w:kern w:val="0"/>
                <w:szCs w:val="21"/>
                <w:lang w:val="en-US" w:eastAsia="zh-CN" w:bidi="ar"/>
              </w:rPr>
              <w:t>办证。</w:t>
            </w:r>
          </w:p>
        </w:tc>
      </w:tr>
      <w:tr w14:paraId="136123BD">
        <w:tblPrEx>
          <w:tblCellMar>
            <w:top w:w="0" w:type="dxa"/>
            <w:left w:w="108" w:type="dxa"/>
            <w:bottom w:w="0" w:type="dxa"/>
            <w:right w:w="108" w:type="dxa"/>
          </w:tblCellMar>
        </w:tblPrEx>
        <w:trPr>
          <w:cantSplit/>
          <w:trHeight w:val="62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70D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3AD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4025" name="图片_1_SpCnt_50"/>
                  <wp:cNvGraphicFramePr/>
                  <a:graphic xmlns:a="http://schemas.openxmlformats.org/drawingml/2006/main">
                    <a:graphicData uri="http://schemas.openxmlformats.org/drawingml/2006/picture">
                      <pic:pic xmlns:pic="http://schemas.openxmlformats.org/drawingml/2006/picture">
                        <pic:nvPicPr>
                          <pic:cNvPr id="4025" name="图片_1_SpCnt_5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4026" name="图片_1_SpCnt_51"/>
                  <wp:cNvGraphicFramePr/>
                  <a:graphic xmlns:a="http://schemas.openxmlformats.org/drawingml/2006/main">
                    <a:graphicData uri="http://schemas.openxmlformats.org/drawingml/2006/picture">
                      <pic:pic xmlns:pic="http://schemas.openxmlformats.org/drawingml/2006/picture">
                        <pic:nvPicPr>
                          <pic:cNvPr id="4026" name="图片_1_SpCnt_5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5875"/>
                  <wp:effectExtent l="0" t="0" r="0" b="0"/>
                  <wp:wrapNone/>
                  <wp:docPr id="4027" name="图片_1_SpCnt_52"/>
                  <wp:cNvGraphicFramePr/>
                  <a:graphic xmlns:a="http://schemas.openxmlformats.org/drawingml/2006/main">
                    <a:graphicData uri="http://schemas.openxmlformats.org/drawingml/2006/picture">
                      <pic:pic xmlns:pic="http://schemas.openxmlformats.org/drawingml/2006/picture">
                        <pic:nvPicPr>
                          <pic:cNvPr id="4027" name="图片_1_SpCnt_5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水产养殖病害防治及水生动物防疫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433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工作方式：落实水生动物疫病防控要求，开展水生动物病害测报工作。</w:t>
            </w:r>
          </w:p>
        </w:tc>
      </w:tr>
      <w:tr w14:paraId="10F0F775">
        <w:tblPrEx>
          <w:tblCellMar>
            <w:top w:w="0" w:type="dxa"/>
            <w:left w:w="108" w:type="dxa"/>
            <w:bottom w:w="0" w:type="dxa"/>
            <w:right w:w="108" w:type="dxa"/>
          </w:tblCellMar>
        </w:tblPrEx>
        <w:trPr>
          <w:cantSplit/>
          <w:trHeight w:val="109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EDC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3D8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水利基建项目初步设计文件审批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B69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承接部门：宿城区水利局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0553CA6D">
        <w:tblPrEx>
          <w:tblCellMar>
            <w:top w:w="0" w:type="dxa"/>
            <w:left w:w="108" w:type="dxa"/>
            <w:bottom w:w="0" w:type="dxa"/>
            <w:right w:w="108" w:type="dxa"/>
          </w:tblCellMar>
        </w:tblPrEx>
        <w:trPr>
          <w:cantSplit/>
          <w:trHeight w:val="108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D47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990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占用农业灌溉水源、灌排工程设施审批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A2D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承接部门：宿城区水利局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46C8D5B2">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FB5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6C6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灌区现代化改造等水利项目建设和农业水价综合改革的保障工作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4DA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承接部门：宿城区水利局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工作方式：负责灌区现代化改造等水利项目建设和农业水价综合改革的保障工作。</w:t>
            </w:r>
          </w:p>
        </w:tc>
      </w:tr>
      <w:tr w14:paraId="2310E12B">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8B67A">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四、社会管理（8项）</w:t>
            </w:r>
          </w:p>
        </w:tc>
      </w:tr>
      <w:tr w14:paraId="1250BC8E">
        <w:tblPrEx>
          <w:tblCellMar>
            <w:top w:w="0" w:type="dxa"/>
            <w:left w:w="108" w:type="dxa"/>
            <w:bottom w:w="0" w:type="dxa"/>
            <w:right w:w="108" w:type="dxa"/>
          </w:tblCellMar>
        </w:tblPrEx>
        <w:trPr>
          <w:cantSplit/>
          <w:trHeight w:val="8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872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885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建立社区健身组织等各类自治性体育组织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6B6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承接部门：宿城区教育局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工作方式：由拟成立组织向区教育局提出申请，递交相关材料，审核通过后进行批复，再到民政部门进行登记成立。</w:t>
            </w:r>
          </w:p>
        </w:tc>
      </w:tr>
      <w:tr w14:paraId="1A1A85F1">
        <w:tblPrEx>
          <w:tblCellMar>
            <w:top w:w="0" w:type="dxa"/>
            <w:left w:w="108" w:type="dxa"/>
            <w:bottom w:w="0" w:type="dxa"/>
            <w:right w:w="108" w:type="dxa"/>
          </w:tblCellMar>
        </w:tblPrEx>
        <w:trPr>
          <w:cantSplit/>
          <w:trHeight w:val="108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B09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E57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拆除环境卫生设施许可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664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承接部门：宿城区城市管理局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78703D3F">
        <w:tblPrEx>
          <w:tblCellMar>
            <w:top w:w="0" w:type="dxa"/>
            <w:left w:w="108" w:type="dxa"/>
            <w:bottom w:w="0" w:type="dxa"/>
            <w:right w:w="108" w:type="dxa"/>
          </w:tblCellMar>
        </w:tblPrEx>
        <w:trPr>
          <w:cantSplit/>
          <w:trHeight w:val="85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663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F5D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4028" name="图片_1_SpCnt_1"/>
                  <wp:cNvGraphicFramePr/>
                  <a:graphic xmlns:a="http://schemas.openxmlformats.org/drawingml/2006/main">
                    <a:graphicData uri="http://schemas.openxmlformats.org/drawingml/2006/picture">
                      <pic:pic xmlns:pic="http://schemas.openxmlformats.org/drawingml/2006/picture">
                        <pic:nvPicPr>
                          <pic:cNvPr id="4028" name="图片_1_SpCnt_1"/>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4029" name="图片_1_SpCnt_2"/>
                  <wp:cNvGraphicFramePr/>
                  <a:graphic xmlns:a="http://schemas.openxmlformats.org/drawingml/2006/main">
                    <a:graphicData uri="http://schemas.openxmlformats.org/drawingml/2006/picture">
                      <pic:pic xmlns:pic="http://schemas.openxmlformats.org/drawingml/2006/picture">
                        <pic:nvPicPr>
                          <pic:cNvPr id="4029" name="图片_1_SpCnt_2"/>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2065"/>
                  <wp:effectExtent l="0" t="0" r="0" b="0"/>
                  <wp:wrapNone/>
                  <wp:docPr id="4030" name="图片_1_SpCnt_3"/>
                  <wp:cNvGraphicFramePr/>
                  <a:graphic xmlns:a="http://schemas.openxmlformats.org/drawingml/2006/main">
                    <a:graphicData uri="http://schemas.openxmlformats.org/drawingml/2006/picture">
                      <pic:pic xmlns:pic="http://schemas.openxmlformats.org/drawingml/2006/picture">
                        <pic:nvPicPr>
                          <pic:cNvPr id="4030" name="图片_1_SpCnt_3"/>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4031" name="图片_1_SpCnt_4"/>
                  <wp:cNvGraphicFramePr/>
                  <a:graphic xmlns:a="http://schemas.openxmlformats.org/drawingml/2006/main">
                    <a:graphicData uri="http://schemas.openxmlformats.org/drawingml/2006/picture">
                      <pic:pic xmlns:pic="http://schemas.openxmlformats.org/drawingml/2006/picture">
                        <pic:nvPicPr>
                          <pic:cNvPr id="4031" name="图片_1_SpCnt_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4032" name="图片_1_SpCnt_5"/>
                  <wp:cNvGraphicFramePr/>
                  <a:graphic xmlns:a="http://schemas.openxmlformats.org/drawingml/2006/main">
                    <a:graphicData uri="http://schemas.openxmlformats.org/drawingml/2006/picture">
                      <pic:pic xmlns:pic="http://schemas.openxmlformats.org/drawingml/2006/picture">
                        <pic:nvPicPr>
                          <pic:cNvPr id="4032" name="图片_1_SpCnt_5"/>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0160"/>
                  <wp:effectExtent l="0" t="0" r="0" b="0"/>
                  <wp:wrapNone/>
                  <wp:docPr id="4033" name="图片_1_SpCnt_6"/>
                  <wp:cNvGraphicFramePr/>
                  <a:graphic xmlns:a="http://schemas.openxmlformats.org/drawingml/2006/main">
                    <a:graphicData uri="http://schemas.openxmlformats.org/drawingml/2006/picture">
                      <pic:pic xmlns:pic="http://schemas.openxmlformats.org/drawingml/2006/picture">
                        <pic:nvPicPr>
                          <pic:cNvPr id="4033" name="图片_1_SpCnt_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034" name="图片_1_SpCnt_7"/>
                  <wp:cNvGraphicFramePr/>
                  <a:graphic xmlns:a="http://schemas.openxmlformats.org/drawingml/2006/main">
                    <a:graphicData uri="http://schemas.openxmlformats.org/drawingml/2006/picture">
                      <pic:pic xmlns:pic="http://schemas.openxmlformats.org/drawingml/2006/picture">
                        <pic:nvPicPr>
                          <pic:cNvPr id="4034" name="图片_1_SpCnt_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5875"/>
                  <wp:effectExtent l="0" t="0" r="0" b="0"/>
                  <wp:wrapNone/>
                  <wp:docPr id="4035" name="图片_1_SpCnt_8"/>
                  <wp:cNvGraphicFramePr/>
                  <a:graphic xmlns:a="http://schemas.openxmlformats.org/drawingml/2006/main">
                    <a:graphicData uri="http://schemas.openxmlformats.org/drawingml/2006/picture">
                      <pic:pic xmlns:pic="http://schemas.openxmlformats.org/drawingml/2006/picture">
                        <pic:nvPicPr>
                          <pic:cNvPr id="4035" name="图片_1_SpCnt_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对违规领取80岁以上高龄津贴的追缴</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2A6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工作方式：畅通投诉、举报渠道，加强对津贴发放的审核管理，依法依规对违规领取80岁以上高龄津贴行为进行处置。</w:t>
            </w:r>
          </w:p>
        </w:tc>
      </w:tr>
      <w:tr w14:paraId="1A41F5AA">
        <w:tblPrEx>
          <w:tblCellMar>
            <w:top w:w="0" w:type="dxa"/>
            <w:left w:w="108" w:type="dxa"/>
            <w:bottom w:w="0" w:type="dxa"/>
            <w:right w:w="108" w:type="dxa"/>
          </w:tblCellMar>
        </w:tblPrEx>
        <w:trPr>
          <w:cantSplit/>
          <w:trHeight w:val="90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CC6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0BE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适老化改造完成情况考核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0FE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工作方式：不再对适老化改造完成率进行考核，组织第三方开展适老化设施改造，指导镇（街道）对已经改造完成的适老化设施做好日常管理维护。</w:t>
            </w:r>
          </w:p>
        </w:tc>
      </w:tr>
      <w:tr w14:paraId="232DA6C9">
        <w:tblPrEx>
          <w:tblCellMar>
            <w:top w:w="0" w:type="dxa"/>
            <w:left w:w="108" w:type="dxa"/>
            <w:bottom w:w="0" w:type="dxa"/>
            <w:right w:w="108" w:type="dxa"/>
          </w:tblCellMar>
        </w:tblPrEx>
        <w:trPr>
          <w:cantSplit/>
          <w:trHeight w:val="122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1E03">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DDD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5875"/>
                  <wp:effectExtent l="0" t="0" r="0" b="0"/>
                  <wp:wrapNone/>
                  <wp:docPr id="4036" name="图片_1_SpCnt_16"/>
                  <wp:cNvGraphicFramePr/>
                  <a:graphic xmlns:a="http://schemas.openxmlformats.org/drawingml/2006/main">
                    <a:graphicData uri="http://schemas.openxmlformats.org/drawingml/2006/picture">
                      <pic:pic xmlns:pic="http://schemas.openxmlformats.org/drawingml/2006/picture">
                        <pic:nvPicPr>
                          <pic:cNvPr id="4036" name="图片_1_SpCnt_1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2065"/>
                  <wp:effectExtent l="0" t="0" r="0" b="0"/>
                  <wp:wrapNone/>
                  <wp:docPr id="4037" name="图片_1_SpCnt_17"/>
                  <wp:cNvGraphicFramePr/>
                  <a:graphic xmlns:a="http://schemas.openxmlformats.org/drawingml/2006/main">
                    <a:graphicData uri="http://schemas.openxmlformats.org/drawingml/2006/picture">
                      <pic:pic xmlns:pic="http://schemas.openxmlformats.org/drawingml/2006/picture">
                        <pic:nvPicPr>
                          <pic:cNvPr id="4037" name="图片_1_SpCnt_17"/>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0160"/>
                  <wp:effectExtent l="0" t="0" r="0" b="0"/>
                  <wp:wrapNone/>
                  <wp:docPr id="4038" name="图片_1_SpCnt_18"/>
                  <wp:cNvGraphicFramePr/>
                  <a:graphic xmlns:a="http://schemas.openxmlformats.org/drawingml/2006/main">
                    <a:graphicData uri="http://schemas.openxmlformats.org/drawingml/2006/picture">
                      <pic:pic xmlns:pic="http://schemas.openxmlformats.org/drawingml/2006/picture">
                        <pic:nvPicPr>
                          <pic:cNvPr id="4038" name="图片_1_SpCnt_1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4039" name="图片_1_SpCnt_19"/>
                  <wp:cNvGraphicFramePr/>
                  <a:graphic xmlns:a="http://schemas.openxmlformats.org/drawingml/2006/main">
                    <a:graphicData uri="http://schemas.openxmlformats.org/drawingml/2006/picture">
                      <pic:pic xmlns:pic="http://schemas.openxmlformats.org/drawingml/2006/picture">
                        <pic:nvPicPr>
                          <pic:cNvPr id="4039" name="图片_1_SpCnt_19"/>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4040" name="图片_1_SpCnt_20"/>
                  <wp:cNvGraphicFramePr/>
                  <a:graphic xmlns:a="http://schemas.openxmlformats.org/drawingml/2006/main">
                    <a:graphicData uri="http://schemas.openxmlformats.org/drawingml/2006/picture">
                      <pic:pic xmlns:pic="http://schemas.openxmlformats.org/drawingml/2006/picture">
                        <pic:nvPicPr>
                          <pic:cNvPr id="4040" name="图片_1_SpCnt_20"/>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4041" name="图片_1_SpCnt_21"/>
                  <wp:cNvGraphicFramePr/>
                  <a:graphic xmlns:a="http://schemas.openxmlformats.org/drawingml/2006/main">
                    <a:graphicData uri="http://schemas.openxmlformats.org/drawingml/2006/picture">
                      <pic:pic xmlns:pic="http://schemas.openxmlformats.org/drawingml/2006/picture">
                        <pic:nvPicPr>
                          <pic:cNvPr id="4041" name="图片_1_SpCnt_21"/>
                          <pic:cNvPicPr/>
                        </pic:nvPicPr>
                        <pic:blipFill>
                          <a:blip r:embed="rId7"/>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4042" name="图片_1_SpCnt_22"/>
                  <wp:cNvGraphicFramePr/>
                  <a:graphic xmlns:a="http://schemas.openxmlformats.org/drawingml/2006/main">
                    <a:graphicData uri="http://schemas.openxmlformats.org/drawingml/2006/picture">
                      <pic:pic xmlns:pic="http://schemas.openxmlformats.org/drawingml/2006/picture">
                        <pic:nvPicPr>
                          <pic:cNvPr id="4042" name="图片_1_SpCnt_22"/>
                          <pic:cNvPicPr/>
                        </pic:nvPicPr>
                        <pic:blipFill>
                          <a:blip r:embed="rId9"/>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043" name="图片_1_SpCnt_23"/>
                  <wp:cNvGraphicFramePr/>
                  <a:graphic xmlns:a="http://schemas.openxmlformats.org/drawingml/2006/main">
                    <a:graphicData uri="http://schemas.openxmlformats.org/drawingml/2006/picture">
                      <pic:pic xmlns:pic="http://schemas.openxmlformats.org/drawingml/2006/picture">
                        <pic:nvPicPr>
                          <pic:cNvPr id="4043" name="图片_1_SpCnt_2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不规范地名清理整治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383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不规范地名使用行为责令限期改正；逾期不改正的，对违法单位通报批评，并通知有关主管部门依法处理；对违法单位的法定代表人或者主要负责人、直接负责的主管人员和其他直接责任人员，处2000元以上1万元以下罚款。</w:t>
            </w:r>
          </w:p>
        </w:tc>
      </w:tr>
      <w:tr w14:paraId="50CB9637">
        <w:tblPrEx>
          <w:tblCellMar>
            <w:top w:w="0" w:type="dxa"/>
            <w:left w:w="108" w:type="dxa"/>
            <w:bottom w:w="0" w:type="dxa"/>
            <w:right w:w="108" w:type="dxa"/>
          </w:tblCellMar>
        </w:tblPrEx>
        <w:trPr>
          <w:cantSplit/>
          <w:trHeight w:val="6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938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25F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出具婚姻状况证明（婚姻关系证明、分居证明）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6F9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60271DD8">
        <w:tblPrEx>
          <w:tblCellMar>
            <w:top w:w="0" w:type="dxa"/>
            <w:left w:w="108" w:type="dxa"/>
            <w:bottom w:w="0" w:type="dxa"/>
            <w:right w:w="108" w:type="dxa"/>
          </w:tblCellMar>
        </w:tblPrEx>
        <w:trPr>
          <w:cantSplit/>
          <w:trHeight w:val="6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193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EC8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地名信息数据核查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D7F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阶段性工作已完成，不再开展此项工作。</w:t>
            </w:r>
          </w:p>
        </w:tc>
      </w:tr>
      <w:tr w14:paraId="59DCE13A">
        <w:tblPrEx>
          <w:tblCellMar>
            <w:top w:w="0" w:type="dxa"/>
            <w:left w:w="108" w:type="dxa"/>
            <w:bottom w:w="0" w:type="dxa"/>
            <w:right w:w="108" w:type="dxa"/>
          </w:tblCellMar>
        </w:tblPrEx>
        <w:trPr>
          <w:cantSplit/>
          <w:trHeight w:val="7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95A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A4B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0160"/>
                  <wp:effectExtent l="0" t="0" r="0" b="0"/>
                  <wp:wrapNone/>
                  <wp:docPr id="4044" name="图片_1_SpCnt_38"/>
                  <wp:cNvGraphicFramePr/>
                  <a:graphic xmlns:a="http://schemas.openxmlformats.org/drawingml/2006/main">
                    <a:graphicData uri="http://schemas.openxmlformats.org/drawingml/2006/picture">
                      <pic:pic xmlns:pic="http://schemas.openxmlformats.org/drawingml/2006/picture">
                        <pic:nvPicPr>
                          <pic:cNvPr id="4044" name="图片_1_SpCnt_3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4045" name="图片_1_SpCnt_39"/>
                  <wp:cNvGraphicFramePr/>
                  <a:graphic xmlns:a="http://schemas.openxmlformats.org/drawingml/2006/main">
                    <a:graphicData uri="http://schemas.openxmlformats.org/drawingml/2006/picture">
                      <pic:pic xmlns:pic="http://schemas.openxmlformats.org/drawingml/2006/picture">
                        <pic:nvPicPr>
                          <pic:cNvPr id="4045" name="图片_1_SpCnt_39"/>
                          <pic:cNvPicPr/>
                        </pic:nvPicPr>
                        <pic:blipFill>
                          <a:blip r:embed="rId11"/>
                          <a:stretch>
                            <a:fillRect/>
                          </a:stretch>
                        </pic:blipFill>
                        <pic:spPr>
                          <a:xfrm>
                            <a:off x="0" y="0"/>
                            <a:ext cx="20320" cy="336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046" name="图片_1_SpCnt_40"/>
                  <wp:cNvGraphicFramePr/>
                  <a:graphic xmlns:a="http://schemas.openxmlformats.org/drawingml/2006/main">
                    <a:graphicData uri="http://schemas.openxmlformats.org/drawingml/2006/picture">
                      <pic:pic xmlns:pic="http://schemas.openxmlformats.org/drawingml/2006/picture">
                        <pic:nvPicPr>
                          <pic:cNvPr id="4046" name="图片_1_SpCnt_40"/>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047" name="图片_1_SpCnt_41"/>
                  <wp:cNvGraphicFramePr/>
                  <a:graphic xmlns:a="http://schemas.openxmlformats.org/drawingml/2006/main">
                    <a:graphicData uri="http://schemas.openxmlformats.org/drawingml/2006/picture">
                      <pic:pic xmlns:pic="http://schemas.openxmlformats.org/drawingml/2006/picture">
                        <pic:nvPicPr>
                          <pic:cNvPr id="4047" name="图片_1_SpCnt_41"/>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对完成平坟还田任务的考核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D19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落实党中央精简优化基层考核有关要求，不再开展此项工作。</w:t>
            </w:r>
          </w:p>
        </w:tc>
      </w:tr>
      <w:tr w14:paraId="52930C6B">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7D25B">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五、社会保障（8项）</w:t>
            </w:r>
          </w:p>
        </w:tc>
      </w:tr>
      <w:tr w14:paraId="24AD1D4D">
        <w:tblPrEx>
          <w:tblCellMar>
            <w:top w:w="0" w:type="dxa"/>
            <w:left w:w="108" w:type="dxa"/>
            <w:bottom w:w="0" w:type="dxa"/>
            <w:right w:w="108" w:type="dxa"/>
          </w:tblCellMar>
        </w:tblPrEx>
        <w:trPr>
          <w:cantSplit/>
          <w:trHeight w:val="61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A66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6D3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“江苏医惠保1号”推广和投保</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FEC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承接部门：宿城区医疗保障局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工作方式：按照有关要求督促指导辖区内商业保险公司做好“江苏医惠保1号”办理工作。</w:t>
            </w:r>
          </w:p>
        </w:tc>
      </w:tr>
      <w:tr w14:paraId="67FFB3B9">
        <w:tblPrEx>
          <w:tblCellMar>
            <w:top w:w="0" w:type="dxa"/>
            <w:left w:w="108" w:type="dxa"/>
            <w:bottom w:w="0" w:type="dxa"/>
            <w:right w:w="108" w:type="dxa"/>
          </w:tblCellMar>
        </w:tblPrEx>
        <w:trPr>
          <w:cantSplit/>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73B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ED1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退役军人残疾评定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574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工作方式：负责受理、初审并报市级审核，最终由省级审批。</w:t>
            </w:r>
          </w:p>
        </w:tc>
      </w:tr>
      <w:tr w14:paraId="244211B6">
        <w:tblPrEx>
          <w:tblCellMar>
            <w:top w:w="0" w:type="dxa"/>
            <w:left w:w="108" w:type="dxa"/>
            <w:bottom w:w="0" w:type="dxa"/>
            <w:right w:w="108" w:type="dxa"/>
          </w:tblCellMar>
        </w:tblPrEx>
        <w:trPr>
          <w:cantSplit/>
          <w:trHeight w:val="7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C02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83E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参试人员身份认定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197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工作方式：负责受理、初审并报市级审批，最终由省级进行备案认定。</w:t>
            </w:r>
          </w:p>
        </w:tc>
      </w:tr>
      <w:tr w14:paraId="534654AD">
        <w:tblPrEx>
          <w:tblCellMar>
            <w:top w:w="0" w:type="dxa"/>
            <w:left w:w="108" w:type="dxa"/>
            <w:bottom w:w="0" w:type="dxa"/>
            <w:right w:w="108" w:type="dxa"/>
          </w:tblCellMar>
        </w:tblPrEx>
        <w:trPr>
          <w:cantSplit/>
          <w:trHeight w:val="9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206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16C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对判刑停止抚恤伤残人员恢复抚恤待遇审查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9DD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工作方式：根据判刑停止抚恤伤残人员本人（精神病患者由利害关系人）申请，进行审查确认并报市级审核，最终由省级进行审批。</w:t>
            </w:r>
          </w:p>
        </w:tc>
      </w:tr>
      <w:tr w14:paraId="78EA76DA">
        <w:tblPrEx>
          <w:tblCellMar>
            <w:top w:w="0" w:type="dxa"/>
            <w:left w:w="108" w:type="dxa"/>
            <w:bottom w:w="0" w:type="dxa"/>
            <w:right w:w="108" w:type="dxa"/>
          </w:tblCellMar>
        </w:tblPrEx>
        <w:trPr>
          <w:cantSplit/>
          <w:trHeight w:val="8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78D8">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2B0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集体合同审查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48A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工作方式：依据行政相对人的申请，对提交的申请材料进行审核，一次性告知需要补正的材料。符合法定条件、标准的，受理后在规定时限内作出审查。</w:t>
            </w:r>
          </w:p>
        </w:tc>
      </w:tr>
      <w:tr w14:paraId="2D562196">
        <w:tblPrEx>
          <w:tblCellMar>
            <w:top w:w="0" w:type="dxa"/>
            <w:left w:w="108" w:type="dxa"/>
            <w:bottom w:w="0" w:type="dxa"/>
            <w:right w:w="108" w:type="dxa"/>
          </w:tblCellMar>
        </w:tblPrEx>
        <w:trPr>
          <w:cantSplit/>
          <w:trHeight w:val="86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2AB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BA9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实行不定时工作制和综合计算工时工作制的审批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C84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工作方式：依据行政相对人的申请，对提交的申请材料进行审核，一次性告知需要补正的材料。符合法定条件、标准的，受理后在规定时限内作出审批决定。</w:t>
            </w:r>
          </w:p>
        </w:tc>
      </w:tr>
      <w:tr w14:paraId="5ADCB467">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EF4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5DA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开展劳动技能培训</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020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工作方式：组织开展“五类”人员就业技能培训工作，由申请人自主选择辖区内民办职业技能学校培训并取得职业技能等级证书或资格证书后申请技能培训补贴，区人社局负责审核发放。</w:t>
            </w:r>
          </w:p>
        </w:tc>
      </w:tr>
      <w:tr w14:paraId="4FDBA85D">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00B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231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13335"/>
                  <wp:effectExtent l="0" t="0" r="0" b="0"/>
                  <wp:wrapNone/>
                  <wp:docPr id="4048" name="图片_1"/>
                  <wp:cNvGraphicFramePr/>
                  <a:graphic xmlns:a="http://schemas.openxmlformats.org/drawingml/2006/main">
                    <a:graphicData uri="http://schemas.openxmlformats.org/drawingml/2006/picture">
                      <pic:pic xmlns:pic="http://schemas.openxmlformats.org/drawingml/2006/picture">
                        <pic:nvPicPr>
                          <pic:cNvPr id="4048" name="图片_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“富民贷”推广工作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0C0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落实党中央为基层减负有关要求，不再开展此项工作。</w:t>
            </w:r>
          </w:p>
        </w:tc>
      </w:tr>
      <w:tr w14:paraId="64846991">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B73EB">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六、生态环保（14项）</w:t>
            </w:r>
          </w:p>
        </w:tc>
      </w:tr>
      <w:tr w14:paraId="43E9D5C9">
        <w:tblPrEx>
          <w:tblCellMar>
            <w:top w:w="0" w:type="dxa"/>
            <w:left w:w="108" w:type="dxa"/>
            <w:bottom w:w="0" w:type="dxa"/>
            <w:right w:w="108" w:type="dxa"/>
          </w:tblCellMar>
        </w:tblPrEx>
        <w:trPr>
          <w:cantSplit/>
          <w:trHeight w:val="6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0C2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2CF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0160"/>
                  <wp:effectExtent l="0" t="0" r="0" b="0"/>
                  <wp:wrapNone/>
                  <wp:docPr id="4049" name="图片_1"/>
                  <wp:cNvGraphicFramePr/>
                  <a:graphic xmlns:a="http://schemas.openxmlformats.org/drawingml/2006/main">
                    <a:graphicData uri="http://schemas.openxmlformats.org/drawingml/2006/picture">
                      <pic:pic xmlns:pic="http://schemas.openxmlformats.org/drawingml/2006/picture">
                        <pic:nvPicPr>
                          <pic:cNvPr id="4049"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5875"/>
                  <wp:effectExtent l="0" t="0" r="0" b="0"/>
                  <wp:wrapNone/>
                  <wp:docPr id="4050" name="图片_1_SpCnt_1"/>
                  <wp:cNvGraphicFramePr/>
                  <a:graphic xmlns:a="http://schemas.openxmlformats.org/drawingml/2006/main">
                    <a:graphicData uri="http://schemas.openxmlformats.org/drawingml/2006/picture">
                      <pic:pic xmlns:pic="http://schemas.openxmlformats.org/drawingml/2006/picture">
                        <pic:nvPicPr>
                          <pic:cNvPr id="4050" name="图片_1_SpCnt_1"/>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051" name="图片_1_SpCnt_2"/>
                  <wp:cNvGraphicFramePr/>
                  <a:graphic xmlns:a="http://schemas.openxmlformats.org/drawingml/2006/main">
                    <a:graphicData uri="http://schemas.openxmlformats.org/drawingml/2006/picture">
                      <pic:pic xmlns:pic="http://schemas.openxmlformats.org/drawingml/2006/picture">
                        <pic:nvPicPr>
                          <pic:cNvPr id="4051" name="图片_1_SpCnt_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公益林管护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E24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承接部门：宿迁市自然资源和规划局宿城分局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工作方式：林业管理科按照规定，及时下达补贴资金，以林长制为抓手，开展巡林工作。</w:t>
            </w:r>
          </w:p>
        </w:tc>
      </w:tr>
      <w:tr w14:paraId="1F0F55EB">
        <w:tblPrEx>
          <w:tblCellMar>
            <w:top w:w="0" w:type="dxa"/>
            <w:left w:w="108" w:type="dxa"/>
            <w:bottom w:w="0" w:type="dxa"/>
            <w:right w:w="108" w:type="dxa"/>
          </w:tblCellMar>
        </w:tblPrEx>
        <w:trPr>
          <w:cantSplit/>
          <w:trHeight w:val="67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18A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BE1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4052" name="图片_1_SpCnt_8"/>
                  <wp:cNvGraphicFramePr/>
                  <a:graphic xmlns:a="http://schemas.openxmlformats.org/drawingml/2006/main">
                    <a:graphicData uri="http://schemas.openxmlformats.org/drawingml/2006/picture">
                      <pic:pic xmlns:pic="http://schemas.openxmlformats.org/drawingml/2006/picture">
                        <pic:nvPicPr>
                          <pic:cNvPr id="4052" name="图片_1_SpCnt_8"/>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对森林资源的保护、修复、利用、更新等的监督检查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5C1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承接部门：宿迁市自然资源和规划局宿城分局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工作方式：林业管理科按照规定，分解新造林任务，开展造林核查工作。</w:t>
            </w:r>
          </w:p>
        </w:tc>
      </w:tr>
      <w:tr w14:paraId="42A4A22D">
        <w:tblPrEx>
          <w:tblCellMar>
            <w:top w:w="0" w:type="dxa"/>
            <w:left w:w="108" w:type="dxa"/>
            <w:bottom w:w="0" w:type="dxa"/>
            <w:right w:w="108" w:type="dxa"/>
          </w:tblCellMar>
        </w:tblPrEx>
        <w:trPr>
          <w:cantSplit/>
          <w:trHeight w:val="6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339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745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10160"/>
                  <wp:effectExtent l="0" t="0" r="0" b="0"/>
                  <wp:wrapNone/>
                  <wp:docPr id="4053" name="图片_1_SpCnt_9"/>
                  <wp:cNvGraphicFramePr/>
                  <a:graphic xmlns:a="http://schemas.openxmlformats.org/drawingml/2006/main">
                    <a:graphicData uri="http://schemas.openxmlformats.org/drawingml/2006/picture">
                      <pic:pic xmlns:pic="http://schemas.openxmlformats.org/drawingml/2006/picture">
                        <pic:nvPicPr>
                          <pic:cNvPr id="4053"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054" name="图片_173"/>
                  <wp:cNvGraphicFramePr/>
                  <a:graphic xmlns:a="http://schemas.openxmlformats.org/drawingml/2006/main">
                    <a:graphicData uri="http://schemas.openxmlformats.org/drawingml/2006/picture">
                      <pic:pic xmlns:pic="http://schemas.openxmlformats.org/drawingml/2006/picture">
                        <pic:nvPicPr>
                          <pic:cNvPr id="4054" name="图片_173"/>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15875"/>
                  <wp:effectExtent l="0" t="0" r="0" b="0"/>
                  <wp:wrapNone/>
                  <wp:docPr id="4055" name="图片_1_SpCnt_10"/>
                  <wp:cNvGraphicFramePr/>
                  <a:graphic xmlns:a="http://schemas.openxmlformats.org/drawingml/2006/main">
                    <a:graphicData uri="http://schemas.openxmlformats.org/drawingml/2006/picture">
                      <pic:pic xmlns:pic="http://schemas.openxmlformats.org/drawingml/2006/picture">
                        <pic:nvPicPr>
                          <pic:cNvPr id="4055" name="图片_1_SpCnt_10"/>
                          <pic:cNvPicPr/>
                        </pic:nvPicPr>
                        <pic:blipFill>
                          <a:blip r:embed="rId14"/>
                          <a:stretch>
                            <a:fillRect/>
                          </a:stretch>
                        </pic:blipFill>
                        <pic:spPr>
                          <a:xfrm>
                            <a:off x="0" y="0"/>
                            <a:ext cx="1524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4056" name="图片_1_SpCnt_11"/>
                  <wp:cNvGraphicFramePr/>
                  <a:graphic xmlns:a="http://schemas.openxmlformats.org/drawingml/2006/main">
                    <a:graphicData uri="http://schemas.openxmlformats.org/drawingml/2006/picture">
                      <pic:pic xmlns:pic="http://schemas.openxmlformats.org/drawingml/2006/picture">
                        <pic:nvPicPr>
                          <pic:cNvPr id="4056" name="图片_1_SpCnt_11"/>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11430"/>
                  <wp:effectExtent l="0" t="0" r="0" b="0"/>
                  <wp:wrapNone/>
                  <wp:docPr id="4057" name="图片_331"/>
                  <wp:cNvGraphicFramePr/>
                  <a:graphic xmlns:a="http://schemas.openxmlformats.org/drawingml/2006/main">
                    <a:graphicData uri="http://schemas.openxmlformats.org/drawingml/2006/picture">
                      <pic:pic xmlns:pic="http://schemas.openxmlformats.org/drawingml/2006/picture">
                        <pic:nvPicPr>
                          <pic:cNvPr id="4057" name="图片_331"/>
                          <pic:cNvPicPr/>
                        </pic:nvPicPr>
                        <pic:blipFill>
                          <a:blip r:embed="rId15"/>
                          <a:stretch>
                            <a:fillRect/>
                          </a:stretch>
                        </pic:blipFill>
                        <pic:spPr>
                          <a:xfrm>
                            <a:off x="0" y="0"/>
                            <a:ext cx="1524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4058" name="图片_1_SpCnt_12"/>
                  <wp:cNvGraphicFramePr/>
                  <a:graphic xmlns:a="http://schemas.openxmlformats.org/drawingml/2006/main">
                    <a:graphicData uri="http://schemas.openxmlformats.org/drawingml/2006/picture">
                      <pic:pic xmlns:pic="http://schemas.openxmlformats.org/drawingml/2006/picture">
                        <pic:nvPicPr>
                          <pic:cNvPr id="4058" name="图片_1_SpCnt_12"/>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开展林业有害生物监测、检疫和防治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D60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承接部门：宿迁市自然资源和规划局宿城分局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工作方式：林业管理科按照规定，开展病虫害监测、防治，做好苗木调运检疫工作。</w:t>
            </w:r>
          </w:p>
        </w:tc>
      </w:tr>
      <w:tr w14:paraId="4E3158CE">
        <w:tblPrEx>
          <w:tblCellMar>
            <w:top w:w="0" w:type="dxa"/>
            <w:left w:w="108" w:type="dxa"/>
            <w:bottom w:w="0" w:type="dxa"/>
            <w:right w:w="108" w:type="dxa"/>
          </w:tblCellMar>
        </w:tblPrEx>
        <w:trPr>
          <w:cantSplit/>
          <w:trHeight w:val="70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72D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4C7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土壤污染重点监管单位中涉及 PFOS 类生产或使用的企业，应当依法建立土壤污染隐患排查制度，保证持续有效防止有毒有害物质渗漏、流失、扬散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2BC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工作方式：对接宿迁市生态环境局，做好辖区土壤污染重点监管单位的更新排查工作。</w:t>
            </w:r>
          </w:p>
        </w:tc>
      </w:tr>
      <w:tr w14:paraId="7F15A402">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1C3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5FF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土壤污染重点监管单位中涉及十溴二苯醚生产或使用的企业，应当依法建立土壤污染隐患排查制度，保证持续有效防止有毒有害物质渗漏、流失、扬散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6AC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工作方式：对接宿迁市生态环境局，做好辖区土壤污染重点监管单位的更新排查工作。</w:t>
            </w:r>
          </w:p>
        </w:tc>
      </w:tr>
      <w:tr w14:paraId="41B7215B">
        <w:tblPrEx>
          <w:tblCellMar>
            <w:top w:w="0" w:type="dxa"/>
            <w:left w:w="108" w:type="dxa"/>
            <w:bottom w:w="0" w:type="dxa"/>
            <w:right w:w="108" w:type="dxa"/>
          </w:tblCellMar>
        </w:tblPrEx>
        <w:trPr>
          <w:cantSplit/>
          <w:trHeight w:val="10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D98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722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4059" name="图片_1_SpCnt_14"/>
                  <wp:cNvGraphicFramePr/>
                  <a:graphic xmlns:a="http://schemas.openxmlformats.org/drawingml/2006/main">
                    <a:graphicData uri="http://schemas.openxmlformats.org/drawingml/2006/picture">
                      <pic:pic xmlns:pic="http://schemas.openxmlformats.org/drawingml/2006/picture">
                        <pic:nvPicPr>
                          <pic:cNvPr id="4059" name="图片_1_SpCnt_1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4060" name="图片_1_SpCnt_15"/>
                  <wp:cNvGraphicFramePr/>
                  <a:graphic xmlns:a="http://schemas.openxmlformats.org/drawingml/2006/main">
                    <a:graphicData uri="http://schemas.openxmlformats.org/drawingml/2006/picture">
                      <pic:pic xmlns:pic="http://schemas.openxmlformats.org/drawingml/2006/picture">
                        <pic:nvPicPr>
                          <pic:cNvPr id="4060" name="图片_1_SpCnt_1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4061" name="图片_1_SpCnt_16"/>
                  <wp:cNvGraphicFramePr/>
                  <a:graphic xmlns:a="http://schemas.openxmlformats.org/drawingml/2006/main">
                    <a:graphicData uri="http://schemas.openxmlformats.org/drawingml/2006/picture">
                      <pic:pic xmlns:pic="http://schemas.openxmlformats.org/drawingml/2006/picture">
                        <pic:nvPicPr>
                          <pic:cNvPr id="4061" name="图片_1_SpCnt_16"/>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4062" name="图片_1_SpCnt_17"/>
                  <wp:cNvGraphicFramePr/>
                  <a:graphic xmlns:a="http://schemas.openxmlformats.org/drawingml/2006/main">
                    <a:graphicData uri="http://schemas.openxmlformats.org/drawingml/2006/picture">
                      <pic:pic xmlns:pic="http://schemas.openxmlformats.org/drawingml/2006/picture">
                        <pic:nvPicPr>
                          <pic:cNvPr id="4062" name="图片_1_SpCnt_17"/>
                          <pic:cNvPicPr/>
                        </pic:nvPicPr>
                        <pic:blipFill>
                          <a:blip r:embed="rId16"/>
                          <a:stretch>
                            <a:fillRect/>
                          </a:stretch>
                        </pic:blipFill>
                        <pic:spPr>
                          <a:xfrm>
                            <a:off x="0" y="0"/>
                            <a:ext cx="1524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4063" name="图片_1_SpCnt_18"/>
                  <wp:cNvGraphicFramePr/>
                  <a:graphic xmlns:a="http://schemas.openxmlformats.org/drawingml/2006/main">
                    <a:graphicData uri="http://schemas.openxmlformats.org/drawingml/2006/picture">
                      <pic:pic xmlns:pic="http://schemas.openxmlformats.org/drawingml/2006/picture">
                        <pic:nvPicPr>
                          <pic:cNvPr id="4063" name="图片_1_SpCnt_18"/>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10160"/>
                  <wp:effectExtent l="0" t="0" r="0" b="0"/>
                  <wp:wrapNone/>
                  <wp:docPr id="4064" name="图片_1_SpCnt_19"/>
                  <wp:cNvGraphicFramePr/>
                  <a:graphic xmlns:a="http://schemas.openxmlformats.org/drawingml/2006/main">
                    <a:graphicData uri="http://schemas.openxmlformats.org/drawingml/2006/picture">
                      <pic:pic xmlns:pic="http://schemas.openxmlformats.org/drawingml/2006/picture">
                        <pic:nvPicPr>
                          <pic:cNvPr id="4064" name="图片_1_SpCnt_19"/>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4065" name="图片_1_SpCnt_20"/>
                  <wp:cNvGraphicFramePr/>
                  <a:graphic xmlns:a="http://schemas.openxmlformats.org/drawingml/2006/main">
                    <a:graphicData uri="http://schemas.openxmlformats.org/drawingml/2006/picture">
                      <pic:pic xmlns:pic="http://schemas.openxmlformats.org/drawingml/2006/picture">
                        <pic:nvPicPr>
                          <pic:cNvPr id="4065"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危险废物环境风险隐患排查整治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5CC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工作方式：建立危险废物环境风险隐患排查整治长效常态机制，形成事前源头防控、事中整改落实、事后闭环检查的全过程管理，对排查发现的问题线索，及时上报、加强整改、强化监督。</w:t>
            </w:r>
          </w:p>
        </w:tc>
      </w:tr>
      <w:tr w14:paraId="7EA7AADA">
        <w:tblPrEx>
          <w:tblCellMar>
            <w:top w:w="0" w:type="dxa"/>
            <w:left w:w="108" w:type="dxa"/>
            <w:bottom w:w="0" w:type="dxa"/>
            <w:right w:w="108" w:type="dxa"/>
          </w:tblCellMar>
        </w:tblPrEx>
        <w:trPr>
          <w:cantSplit/>
          <w:trHeight w:val="7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4F5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3E5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开展水环境质量监测和应急监测</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02F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工作方式：通过“双随机一公开”等方式，加强对水环境污染防治工作的监督检查，强化水环境质量监测手段，提升水环境应急监测能力。</w:t>
            </w:r>
          </w:p>
        </w:tc>
      </w:tr>
      <w:tr w14:paraId="46D875E5">
        <w:tblPrEx>
          <w:tblCellMar>
            <w:top w:w="0" w:type="dxa"/>
            <w:left w:w="108" w:type="dxa"/>
            <w:bottom w:w="0" w:type="dxa"/>
            <w:right w:w="108" w:type="dxa"/>
          </w:tblCellMar>
        </w:tblPrEx>
        <w:trPr>
          <w:cantSplit/>
          <w:trHeight w:val="81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A17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DDD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集中式饮用水水源地环境调查评估并采取相应风险防范措施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D0E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工作方式：建立饮用水水源地日常监管及环境风险防范工作机制，组织开展饮用水水源保护区环境安全隐患排查，制定风险防范预案，推进饮用水水源保护区规范化建设。</w:t>
            </w:r>
          </w:p>
        </w:tc>
      </w:tr>
      <w:tr w14:paraId="52B69CCD">
        <w:tblPrEx>
          <w:tblCellMar>
            <w:top w:w="0" w:type="dxa"/>
            <w:left w:w="108" w:type="dxa"/>
            <w:bottom w:w="0" w:type="dxa"/>
            <w:right w:w="108" w:type="dxa"/>
          </w:tblCellMar>
        </w:tblPrEx>
        <w:trPr>
          <w:cantSplit/>
          <w:trHeight w:val="110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6EA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398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督促新改、扩迁建项目及时做好环保手续报批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300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工作方式：加强信息共享、工作指导，督促新改、扩迁建项目做好环保手续报批，按照建设项目环境影响评价审批程序规定，加快手续办理进度，避免出现“未批先建”及因环评手续滞后影响项目开工等问题。</w:t>
            </w:r>
          </w:p>
        </w:tc>
      </w:tr>
      <w:tr w14:paraId="40FA7C66">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9B9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A89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对“国三”及“国四”柴油货车提前淘汰的考核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E34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工作方式：联合交通、公安等部门形成移动源污染防治监管合力，强化柴油货车污染治理工作举措，对超标排放行为依法依规进行处置。</w:t>
            </w:r>
          </w:p>
        </w:tc>
      </w:tr>
      <w:tr w14:paraId="1114FA7A">
        <w:tblPrEx>
          <w:tblCellMar>
            <w:top w:w="0" w:type="dxa"/>
            <w:left w:w="108" w:type="dxa"/>
            <w:bottom w:w="0" w:type="dxa"/>
            <w:right w:w="108" w:type="dxa"/>
          </w:tblCellMar>
        </w:tblPrEx>
        <w:trPr>
          <w:cantSplit/>
          <w:trHeight w:val="5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C564">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991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对治污攻坚宣传工作的考核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E38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落实党中央精简优化基层考核精神，不再开展此项工作。</w:t>
            </w:r>
          </w:p>
        </w:tc>
      </w:tr>
      <w:tr w14:paraId="44D30F61">
        <w:tblPrEx>
          <w:tblCellMar>
            <w:top w:w="0" w:type="dxa"/>
            <w:left w:w="108" w:type="dxa"/>
            <w:bottom w:w="0" w:type="dxa"/>
            <w:right w:w="108" w:type="dxa"/>
          </w:tblCellMar>
        </w:tblPrEx>
        <w:trPr>
          <w:cantSplit/>
          <w:trHeight w:val="60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FF7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B14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对在防治大气污染、保护和改善大气环境方面成绩显著的单位和个人的奖励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849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工作方式：负责每年通过攻坚办对先进单位和个人进行通报表彰。</w:t>
            </w:r>
          </w:p>
        </w:tc>
      </w:tr>
      <w:tr w14:paraId="5A5A8F60">
        <w:tblPrEx>
          <w:tblCellMar>
            <w:top w:w="0" w:type="dxa"/>
            <w:left w:w="108" w:type="dxa"/>
            <w:bottom w:w="0" w:type="dxa"/>
            <w:right w:w="108" w:type="dxa"/>
          </w:tblCellMar>
        </w:tblPrEx>
        <w:trPr>
          <w:cantSplit/>
          <w:trHeight w:val="67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5E5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790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建立重污染天气应急减排清单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BB8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工作方式：对接市生态环境局，做好辖区涉气清单的更新排查工作。</w:t>
            </w:r>
          </w:p>
        </w:tc>
      </w:tr>
      <w:tr w14:paraId="4BCDF75E">
        <w:tblPrEx>
          <w:tblCellMar>
            <w:top w:w="0" w:type="dxa"/>
            <w:left w:w="108" w:type="dxa"/>
            <w:bottom w:w="0" w:type="dxa"/>
            <w:right w:w="108" w:type="dxa"/>
          </w:tblCellMar>
        </w:tblPrEx>
        <w:trPr>
          <w:cantSplit/>
          <w:trHeight w:val="90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180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BEA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加强甲烷等非二氧化碳温室气体排放管控，落实排放源统计调查、核算核查、监管制度，将温室气体管控纳入环评管理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D55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工作方式：加强对非二氧化碳温室气体排放的管控力度，畅通投诉、举报渠道，依法依规对大气污染进行治理（无单独的温室气体治理）。</w:t>
            </w:r>
          </w:p>
        </w:tc>
      </w:tr>
      <w:tr w14:paraId="6AAD9FA6">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1F3EB">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七、城乡建设（11项）</w:t>
            </w:r>
          </w:p>
        </w:tc>
      </w:tr>
      <w:tr w14:paraId="0E1E0A8A">
        <w:tblPrEx>
          <w:tblCellMar>
            <w:top w:w="0" w:type="dxa"/>
            <w:left w:w="108" w:type="dxa"/>
            <w:bottom w:w="0" w:type="dxa"/>
            <w:right w:w="108" w:type="dxa"/>
          </w:tblCellMar>
        </w:tblPrEx>
        <w:trPr>
          <w:cantSplit/>
          <w:trHeight w:val="10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45A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7AE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建筑工程施工许可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ED2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工作方式：依据行政相对人的申请，对提交的申请材料进行审核，一次性告知需要补正的材料。符合法定条件、标准的，受理后在规定时限内核发许可证，主动将相关信息向社会公示。</w:t>
            </w:r>
          </w:p>
        </w:tc>
      </w:tr>
      <w:tr w14:paraId="41B1BA3C">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192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945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房屋建筑和市政基础设施工程竣工验收的备案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59B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区住建局质量检测中心和建筑工程服务中心负责指导与监督管理工作。</w:t>
            </w:r>
          </w:p>
        </w:tc>
      </w:tr>
      <w:tr w14:paraId="689C0345">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E0E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C02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建设工程各类合同及相关备案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F68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6171A322">
        <w:tblPrEx>
          <w:tblCellMar>
            <w:top w:w="0" w:type="dxa"/>
            <w:left w:w="108" w:type="dxa"/>
            <w:bottom w:w="0" w:type="dxa"/>
            <w:right w:w="108" w:type="dxa"/>
          </w:tblCellMar>
        </w:tblPrEx>
        <w:trPr>
          <w:cantSplit/>
          <w:trHeight w:val="11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440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E33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绿化工程竣工验收备案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7FB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0453C6E8">
        <w:tblPrEx>
          <w:tblCellMar>
            <w:top w:w="0" w:type="dxa"/>
            <w:left w:w="108" w:type="dxa"/>
            <w:bottom w:w="0" w:type="dxa"/>
            <w:right w:w="108" w:type="dxa"/>
          </w:tblCellMar>
        </w:tblPrEx>
        <w:trPr>
          <w:cantSplit/>
          <w:trHeight w:val="127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40F4">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17F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砍伐城市树木、迁移古树名木审批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D70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5488F1FF">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8E38">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97C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临时占用城市绿地审批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07A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664A5A0F">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5D9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7BFC">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依附于城市道路建设各种管线、杆线等设施审批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FD9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45847B89">
        <w:tblPrEx>
          <w:tblCellMar>
            <w:top w:w="0" w:type="dxa"/>
            <w:left w:w="108" w:type="dxa"/>
            <w:bottom w:w="0" w:type="dxa"/>
            <w:right w:w="108" w:type="dxa"/>
          </w:tblCellMar>
        </w:tblPrEx>
        <w:trPr>
          <w:cantSplit/>
          <w:trHeight w:val="78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A3D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29B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城市地下管线普查工作，指导督促相关权属单位对已掌握的隐患风险限期消除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0B2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工作方式：牵头相关行业主管部门开展城市地下管线普查，按照职责分工，推动各领域有关权属单位限期消除隐患风险。</w:t>
            </w:r>
          </w:p>
        </w:tc>
      </w:tr>
      <w:tr w14:paraId="5699A99E">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90A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679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城市桥梁上架设各类市政管线审批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5DF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184A1BA7">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90B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618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color w:val="000000"/>
                <w:highlight w:val="none"/>
                <w:lang w:val="en-US" w:eastAsia="zh-CN" w:bidi="ar"/>
              </w:rPr>
            </w:pPr>
            <w:r>
              <w:rPr>
                <w:rFonts w:hint="default" w:ascii="Times New Roman" w:hAnsi="Times New Roman" w:eastAsia="方正仿宋_GBK" w:cs="Times New Roman"/>
                <w:lang w:eastAsia="zh-CN" w:bidi="ar"/>
              </w:rPr>
              <w:t>占用、挖掘城市道路</w:t>
            </w:r>
            <w:r>
              <w:rPr>
                <w:rFonts w:hint="default" w:ascii="Times New Roman" w:hAnsi="Times New Roman" w:eastAsia="方正仿宋_GBK" w:cs="Times New Roman"/>
                <w:lang w:val="en-US" w:eastAsia="zh-CN" w:bidi="ar"/>
              </w:rPr>
              <w:t>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E8E0">
            <w:pPr>
              <w:keepNext w:val="0"/>
              <w:keepLines w:val="0"/>
              <w:pageBreakBefore w:val="0"/>
              <w:widowControl/>
              <w:kinsoku/>
              <w:wordWrap/>
              <w:overflowPunct/>
              <w:topLinePunct w:val="0"/>
              <w:autoSpaceDE w:val="0"/>
              <w:autoSpaceDN w:val="0"/>
              <w:bidi w:val="0"/>
              <w:adjustRightInd w:val="0"/>
              <w:snapToGrid w:val="0"/>
              <w:rPr>
                <w:rFonts w:hint="default" w:ascii="Times New Roman" w:hAnsi="Times New Roman" w:eastAsia="方正仿宋_GBK" w:cs="Times New Roman"/>
                <w:lang w:eastAsia="zh-CN" w:bidi="ar"/>
              </w:rPr>
            </w:pPr>
            <w:r>
              <w:rPr>
                <w:rFonts w:hint="default" w:ascii="Times New Roman" w:hAnsi="Times New Roman" w:eastAsia="方正仿宋_GBK" w:cs="Times New Roman"/>
                <w:lang w:eastAsia="zh-CN" w:bidi="ar"/>
              </w:rPr>
              <w:t>承接部门：宿城区住房和城乡建设局</w:t>
            </w:r>
          </w:p>
          <w:p w14:paraId="1DE0867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lang w:eastAsia="zh-CN" w:bidi="ar"/>
              </w:rPr>
              <w:t>工作方式：依行政相对人的申请，对提交的申请材料进行审核，一次性告知需要补正的材料。符合法定条件、标准的，受理后在规定时限内作出行政许可决定，并做好指导与日常监督管理工作。</w:t>
            </w:r>
          </w:p>
        </w:tc>
      </w:tr>
      <w:tr w14:paraId="76FDCA68">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AA9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D42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城镇污水排入排水管网许可</w:t>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4066" name="图片_1_SpCnt_20"/>
                  <wp:cNvGraphicFramePr/>
                  <a:graphic xmlns:a="http://schemas.openxmlformats.org/drawingml/2006/main">
                    <a:graphicData uri="http://schemas.openxmlformats.org/drawingml/2006/picture">
                      <pic:pic xmlns:pic="http://schemas.openxmlformats.org/drawingml/2006/picture">
                        <pic:nvPicPr>
                          <pic:cNvPr id="4066"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067" name="图片_1_SpCnt_21"/>
                  <wp:cNvGraphicFramePr/>
                  <a:graphic xmlns:a="http://schemas.openxmlformats.org/drawingml/2006/main">
                    <a:graphicData uri="http://schemas.openxmlformats.org/drawingml/2006/picture">
                      <pic:pic xmlns:pic="http://schemas.openxmlformats.org/drawingml/2006/picture">
                        <pic:nvPicPr>
                          <pic:cNvPr id="4067" name="图片_1_SpCnt_21"/>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5875"/>
                  <wp:effectExtent l="0" t="0" r="0" b="0"/>
                  <wp:wrapNone/>
                  <wp:docPr id="4068" name="图片_1_SpCnt_22"/>
                  <wp:cNvGraphicFramePr/>
                  <a:graphic xmlns:a="http://schemas.openxmlformats.org/drawingml/2006/main">
                    <a:graphicData uri="http://schemas.openxmlformats.org/drawingml/2006/picture">
                      <pic:pic xmlns:pic="http://schemas.openxmlformats.org/drawingml/2006/picture">
                        <pic:nvPicPr>
                          <pic:cNvPr id="4068" name="图片_1_SpCnt_2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4069" name="图片_1_SpCnt_23"/>
                  <wp:cNvGraphicFramePr/>
                  <a:graphic xmlns:a="http://schemas.openxmlformats.org/drawingml/2006/main">
                    <a:graphicData uri="http://schemas.openxmlformats.org/drawingml/2006/picture">
                      <pic:pic xmlns:pic="http://schemas.openxmlformats.org/drawingml/2006/picture">
                        <pic:nvPicPr>
                          <pic:cNvPr id="4069" name="图片_1_SpCnt_2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4070" name="图片_1_SpCnt_24"/>
                  <wp:cNvGraphicFramePr/>
                  <a:graphic xmlns:a="http://schemas.openxmlformats.org/drawingml/2006/main">
                    <a:graphicData uri="http://schemas.openxmlformats.org/drawingml/2006/picture">
                      <pic:pic xmlns:pic="http://schemas.openxmlformats.org/drawingml/2006/picture">
                        <pic:nvPicPr>
                          <pic:cNvPr id="4070" name="图片_1_SpCnt_24"/>
                          <pic:cNvPicPr/>
                        </pic:nvPicPr>
                        <pic:blipFill>
                          <a:blip r:embed="rId17"/>
                          <a:stretch>
                            <a:fillRect/>
                          </a:stretch>
                        </pic:blipFill>
                        <pic:spPr>
                          <a:xfrm>
                            <a:off x="0" y="0"/>
                            <a:ext cx="1524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4071" name="图片_1_SpCnt_25"/>
                  <wp:cNvGraphicFramePr/>
                  <a:graphic xmlns:a="http://schemas.openxmlformats.org/drawingml/2006/main">
                    <a:graphicData uri="http://schemas.openxmlformats.org/drawingml/2006/picture">
                      <pic:pic xmlns:pic="http://schemas.openxmlformats.org/drawingml/2006/picture">
                        <pic:nvPicPr>
                          <pic:cNvPr id="4071" name="图片_1_SpCnt_25"/>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4072" name="图片_1_SpCnt_26"/>
                  <wp:cNvGraphicFramePr/>
                  <a:graphic xmlns:a="http://schemas.openxmlformats.org/drawingml/2006/main">
                    <a:graphicData uri="http://schemas.openxmlformats.org/drawingml/2006/picture">
                      <pic:pic xmlns:pic="http://schemas.openxmlformats.org/drawingml/2006/picture">
                        <pic:nvPicPr>
                          <pic:cNvPr id="4072" name="图片_1_SpCnt_26"/>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4073" name="图片_1_SpCnt_27"/>
                  <wp:cNvGraphicFramePr/>
                  <a:graphic xmlns:a="http://schemas.openxmlformats.org/drawingml/2006/main">
                    <a:graphicData uri="http://schemas.openxmlformats.org/drawingml/2006/picture">
                      <pic:pic xmlns:pic="http://schemas.openxmlformats.org/drawingml/2006/picture">
                        <pic:nvPicPr>
                          <pic:cNvPr id="4073" name="图片_1_SpCnt_27"/>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7780"/>
                  <wp:effectExtent l="0" t="0" r="0" b="0"/>
                  <wp:wrapNone/>
                  <wp:docPr id="4074" name="图片_1_SpCnt_28"/>
                  <wp:cNvGraphicFramePr/>
                  <a:graphic xmlns:a="http://schemas.openxmlformats.org/drawingml/2006/main">
                    <a:graphicData uri="http://schemas.openxmlformats.org/drawingml/2006/picture">
                      <pic:pic xmlns:pic="http://schemas.openxmlformats.org/drawingml/2006/picture">
                        <pic:nvPicPr>
                          <pic:cNvPr id="4074" name="图片_1_SpCnt_28"/>
                          <pic:cNvPicPr/>
                        </pic:nvPicPr>
                        <pic:blipFill>
                          <a:blip r:embed="rId8"/>
                          <a:stretch>
                            <a:fillRect/>
                          </a:stretch>
                        </pic:blipFill>
                        <pic:spPr>
                          <a:xfrm>
                            <a:off x="0" y="0"/>
                            <a:ext cx="20320" cy="1778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2065"/>
                  <wp:effectExtent l="0" t="0" r="0" b="0"/>
                  <wp:wrapNone/>
                  <wp:docPr id="4075" name="图片_1_SpCnt_29"/>
                  <wp:cNvGraphicFramePr/>
                  <a:graphic xmlns:a="http://schemas.openxmlformats.org/drawingml/2006/main">
                    <a:graphicData uri="http://schemas.openxmlformats.org/drawingml/2006/picture">
                      <pic:pic xmlns:pic="http://schemas.openxmlformats.org/drawingml/2006/picture">
                        <pic:nvPicPr>
                          <pic:cNvPr id="4075" name="图片_1_SpCnt_29"/>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4076" name="图片_1_SpCnt_30"/>
                  <wp:cNvGraphicFramePr/>
                  <a:graphic xmlns:a="http://schemas.openxmlformats.org/drawingml/2006/main">
                    <a:graphicData uri="http://schemas.openxmlformats.org/drawingml/2006/picture">
                      <pic:pic xmlns:pic="http://schemas.openxmlformats.org/drawingml/2006/picture">
                        <pic:nvPicPr>
                          <pic:cNvPr id="4076" name="图片_1_SpCnt_3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4077" name="图片_1_SpCnt_31"/>
                  <wp:cNvGraphicFramePr/>
                  <a:graphic xmlns:a="http://schemas.openxmlformats.org/drawingml/2006/main">
                    <a:graphicData uri="http://schemas.openxmlformats.org/drawingml/2006/picture">
                      <pic:pic xmlns:pic="http://schemas.openxmlformats.org/drawingml/2006/picture">
                        <pic:nvPicPr>
                          <pic:cNvPr id="4077"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10160"/>
                  <wp:effectExtent l="0" t="0" r="0" b="0"/>
                  <wp:wrapNone/>
                  <wp:docPr id="4078" name="图片_1_SpCnt_32"/>
                  <wp:cNvGraphicFramePr/>
                  <a:graphic xmlns:a="http://schemas.openxmlformats.org/drawingml/2006/main">
                    <a:graphicData uri="http://schemas.openxmlformats.org/drawingml/2006/picture">
                      <pic:pic xmlns:pic="http://schemas.openxmlformats.org/drawingml/2006/picture">
                        <pic:nvPicPr>
                          <pic:cNvPr id="4078" name="图片_1_SpCnt_32"/>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4079" name="图片_1_SpCnt_33"/>
                  <wp:cNvGraphicFramePr/>
                  <a:graphic xmlns:a="http://schemas.openxmlformats.org/drawingml/2006/main">
                    <a:graphicData uri="http://schemas.openxmlformats.org/drawingml/2006/picture">
                      <pic:pic xmlns:pic="http://schemas.openxmlformats.org/drawingml/2006/picture">
                        <pic:nvPicPr>
                          <pic:cNvPr id="4079" name="图片_1_SpCnt_3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4080" name="图片_1_SpCnt_34"/>
                  <wp:cNvGraphicFramePr/>
                  <a:graphic xmlns:a="http://schemas.openxmlformats.org/drawingml/2006/main">
                    <a:graphicData uri="http://schemas.openxmlformats.org/drawingml/2006/picture">
                      <pic:pic xmlns:pic="http://schemas.openxmlformats.org/drawingml/2006/picture">
                        <pic:nvPicPr>
                          <pic:cNvPr id="4080" name="图片_1_SpCnt_3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4081" name="图片_1_SpCnt_35"/>
                  <wp:cNvGraphicFramePr/>
                  <a:graphic xmlns:a="http://schemas.openxmlformats.org/drawingml/2006/main">
                    <a:graphicData uri="http://schemas.openxmlformats.org/drawingml/2006/picture">
                      <pic:pic xmlns:pic="http://schemas.openxmlformats.org/drawingml/2006/picture">
                        <pic:nvPicPr>
                          <pic:cNvPr id="4081" name="图片_1_SpCnt_35"/>
                          <pic:cNvPicPr/>
                        </pic:nvPicPr>
                        <pic:blipFill>
                          <a:blip r:embed="rId7"/>
                          <a:stretch>
                            <a:fillRect/>
                          </a:stretch>
                        </pic:blipFill>
                        <pic:spPr>
                          <a:xfrm>
                            <a:off x="0" y="0"/>
                            <a:ext cx="20320" cy="3111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74D8">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4DD1ED07">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49089">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八、文化和旅游（6项）</w:t>
            </w:r>
          </w:p>
        </w:tc>
      </w:tr>
      <w:tr w14:paraId="404D7865">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4D2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F5B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出版物零售单位设立审批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E599">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承接部门：宿城区委宣传部（新闻出版局）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21A5C8E2">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8BA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293B">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在历史文化名城、名镇、名村保护范围内开山、采石、开矿等破坏传统格局和历史风貌，占用保护规划确定保留的园林绿地、河湖水系、道路，修建生产、储存爆炸性、易燃性、放射性、毒害性、腐蚀性物品的工厂、仓库，在历史建筑上刻划、涂污等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8E51">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52409C9E">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CB4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7CC9">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对未经批准在历史文化名城、名镇、名村保护范围内拆除历史建筑以外的建筑物、构筑物或者其他设施的，或者在活动过程中对传统格局、历史风貌或者历史建筑构成破坏性影响的代履行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86B6">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0BC6AA8B">
        <w:tblPrEx>
          <w:tblCellMar>
            <w:top w:w="0" w:type="dxa"/>
            <w:left w:w="108" w:type="dxa"/>
            <w:bottom w:w="0" w:type="dxa"/>
            <w:right w:w="108" w:type="dxa"/>
          </w:tblCellMar>
        </w:tblPrEx>
        <w:trPr>
          <w:cantSplit/>
          <w:trHeight w:val="6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317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CCFF">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对损坏或者擅自迁移、拆除历史建筑的代为恢复原状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314B">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工作方式：按照年度工作计划，对损坏或者擅自迁移、拆除历史建筑行为进行监督检查，依法依规开展行政强制措施。</w:t>
            </w:r>
          </w:p>
        </w:tc>
      </w:tr>
      <w:tr w14:paraId="218C241A">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284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73F9">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未经批准在历史文化名城、名镇、名村保护范围内对历史建筑进行外部修缮装饰、添加设施以及改变历史建筑的结构或者使用性质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5139">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2B8A9F09">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071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1DE6">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对在历史文化名城、名镇、名村保护范围内</w:t>
            </w:r>
            <w:r>
              <w:rPr>
                <w:rFonts w:hint="default" w:ascii="Times New Roman" w:hAnsi="Times New Roman" w:eastAsia="方正仿宋_GBK" w:cs="Times New Roman"/>
                <w:color w:val="000000"/>
                <w:spacing w:val="-6"/>
                <w:sz w:val="21"/>
                <w:highlight w:val="none"/>
                <w:lang w:val="en-US" w:eastAsia="zh-CN" w:bidi="ar"/>
              </w:rPr>
              <w:t>进行改变园林绿地、河湖水系等自然状态的活动；在核心保护范围内进行影视摄制、举办大型群众性活动；其他影响传统格局、历史风貌或者历史建筑的活动过程中对</w:t>
            </w:r>
            <w:r>
              <w:rPr>
                <w:rFonts w:hint="default" w:ascii="Times New Roman" w:hAnsi="Times New Roman" w:eastAsia="方正仿宋_GBK" w:cs="Times New Roman"/>
                <w:color w:val="000000"/>
                <w:highlight w:val="none"/>
                <w:lang w:val="en-US" w:eastAsia="zh-CN" w:bidi="ar"/>
              </w:rPr>
              <w:t>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67FB">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54A4F0FF">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61F2C">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九、卫生健康（16项）</w:t>
            </w:r>
          </w:p>
        </w:tc>
      </w:tr>
      <w:tr w14:paraId="4B1E064B">
        <w:tblPrEx>
          <w:tblCellMar>
            <w:top w:w="0" w:type="dxa"/>
            <w:left w:w="108" w:type="dxa"/>
            <w:bottom w:w="0" w:type="dxa"/>
            <w:right w:w="108" w:type="dxa"/>
          </w:tblCellMar>
        </w:tblPrEx>
        <w:trPr>
          <w:cantSplit/>
          <w:trHeight w:val="75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330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E95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8415"/>
                  <wp:effectExtent l="0" t="0" r="0" b="0"/>
                  <wp:wrapNone/>
                  <wp:docPr id="4082" name="图片_1"/>
                  <wp:cNvGraphicFramePr/>
                  <a:graphic xmlns:a="http://schemas.openxmlformats.org/drawingml/2006/main">
                    <a:graphicData uri="http://schemas.openxmlformats.org/drawingml/2006/picture">
                      <pic:pic xmlns:pic="http://schemas.openxmlformats.org/drawingml/2006/picture">
                        <pic:nvPicPr>
                          <pic:cNvPr id="4082" name="图片_1"/>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4083" name="图片_1_SpCnt_1"/>
                  <wp:cNvGraphicFramePr/>
                  <a:graphic xmlns:a="http://schemas.openxmlformats.org/drawingml/2006/main">
                    <a:graphicData uri="http://schemas.openxmlformats.org/drawingml/2006/picture">
                      <pic:pic xmlns:pic="http://schemas.openxmlformats.org/drawingml/2006/picture">
                        <pic:nvPicPr>
                          <pic:cNvPr id="4083" name="图片_1_SpCnt_1"/>
                          <pic:cNvPicPr/>
                        </pic:nvPicPr>
                        <pic:blipFill>
                          <a:blip r:embed="rId18"/>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084" name="图片_1_SpCnt_2"/>
                  <wp:cNvGraphicFramePr/>
                  <a:graphic xmlns:a="http://schemas.openxmlformats.org/drawingml/2006/main">
                    <a:graphicData uri="http://schemas.openxmlformats.org/drawingml/2006/picture">
                      <pic:pic xmlns:pic="http://schemas.openxmlformats.org/drawingml/2006/picture">
                        <pic:nvPicPr>
                          <pic:cNvPr id="4084" name="图片_1_SpCnt_2"/>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3335"/>
                  <wp:effectExtent l="0" t="0" r="0" b="0"/>
                  <wp:wrapNone/>
                  <wp:docPr id="4085" name="图片_1_SpCnt_3"/>
                  <wp:cNvGraphicFramePr/>
                  <a:graphic xmlns:a="http://schemas.openxmlformats.org/drawingml/2006/main">
                    <a:graphicData uri="http://schemas.openxmlformats.org/drawingml/2006/picture">
                      <pic:pic xmlns:pic="http://schemas.openxmlformats.org/drawingml/2006/picture">
                        <pic:nvPicPr>
                          <pic:cNvPr id="4085" name="图片_1_SpCnt_3"/>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5875"/>
                  <wp:effectExtent l="0" t="0" r="0" b="0"/>
                  <wp:wrapNone/>
                  <wp:docPr id="4086" name="图片_1_SpCnt_4"/>
                  <wp:cNvGraphicFramePr/>
                  <a:graphic xmlns:a="http://schemas.openxmlformats.org/drawingml/2006/main">
                    <a:graphicData uri="http://schemas.openxmlformats.org/drawingml/2006/picture">
                      <pic:pic xmlns:pic="http://schemas.openxmlformats.org/drawingml/2006/picture">
                        <pic:nvPicPr>
                          <pic:cNvPr id="4086" name="图片_1_SpCnt_4"/>
                          <pic:cNvPicPr/>
                        </pic:nvPicPr>
                        <pic:blipFill>
                          <a:blip r:embed="rId6"/>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开展妇幼健康服务项目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C3DA">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采取购买医疗卫生机构服务形式，为婴幼儿家庭提供膳食营养、生长发育等健康指导。对育龄人群开展优生优育知识宣传教育，对育龄妇女开展围孕期、孕产期保健服务，承担计划生育、优生优育、生殖保健的咨询、指导和技术服务，规范开展不孕不育症诊疗。</w:t>
            </w:r>
          </w:p>
        </w:tc>
      </w:tr>
      <w:tr w14:paraId="75BCE286">
        <w:tblPrEx>
          <w:tblCellMar>
            <w:top w:w="0" w:type="dxa"/>
            <w:left w:w="108" w:type="dxa"/>
            <w:bottom w:w="0" w:type="dxa"/>
            <w:right w:w="108" w:type="dxa"/>
          </w:tblCellMar>
        </w:tblPrEx>
        <w:trPr>
          <w:cantSplit/>
          <w:trHeight w:val="12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1E0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5BF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087" name="图片_1_SpCnt_8"/>
                  <wp:cNvGraphicFramePr/>
                  <a:graphic xmlns:a="http://schemas.openxmlformats.org/drawingml/2006/main">
                    <a:graphicData uri="http://schemas.openxmlformats.org/drawingml/2006/picture">
                      <pic:pic xmlns:pic="http://schemas.openxmlformats.org/drawingml/2006/picture">
                        <pic:nvPicPr>
                          <pic:cNvPr id="4087" name="图片_1_SpCnt_8"/>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封存造成职业病危害事故或者可能导致职业病危害事故发生的材料和设备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28CC">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工作方式：畅通投诉、举报渠道，协调相关执法机构加强监管，依法依规对造成职业病危害事故或者可能导致职业病危害事故发生的材料和设备进行强制封存。</w:t>
            </w:r>
          </w:p>
        </w:tc>
      </w:tr>
      <w:tr w14:paraId="635C4B0D">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01A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749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对辖区内托育机构的监督管理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306E">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工作方式：落实上级卫健部门要求，协调组织相关职能部门加强对辖区范围内的托育机构的监督管理。</w:t>
            </w:r>
          </w:p>
        </w:tc>
      </w:tr>
      <w:tr w14:paraId="7EDBEC5E">
        <w:tblPrEx>
          <w:tblCellMar>
            <w:top w:w="0" w:type="dxa"/>
            <w:left w:w="108" w:type="dxa"/>
            <w:bottom w:w="0" w:type="dxa"/>
            <w:right w:w="108" w:type="dxa"/>
          </w:tblCellMar>
        </w:tblPrEx>
        <w:trPr>
          <w:cantSplit/>
          <w:trHeight w:val="11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2B0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16A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对发放计划生育药具工作的考核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5D5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绩效目标测算与安排经费，确保免费基本避孕药具进入提供放置和发放服务的医疗机构，向社会公布免费避孕药具发放网点、免费基本避孕药具种类，掌握服务提供情况，并开展绩效评价，保障项目顺利实施。</w:t>
            </w:r>
          </w:p>
        </w:tc>
      </w:tr>
      <w:tr w14:paraId="46AC2955">
        <w:tblPrEx>
          <w:tblCellMar>
            <w:top w:w="0" w:type="dxa"/>
            <w:left w:w="108" w:type="dxa"/>
            <w:bottom w:w="0" w:type="dxa"/>
            <w:right w:w="108" w:type="dxa"/>
          </w:tblCellMar>
        </w:tblPrEx>
        <w:trPr>
          <w:cantSplit/>
          <w:trHeight w:val="116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E6D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CBC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公共场所卫生许可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EA6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340020AF">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FB0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826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5875"/>
                  <wp:effectExtent l="0" t="0" r="0" b="0"/>
                  <wp:wrapNone/>
                  <wp:docPr id="4088" name="图片_1_SpCnt_17"/>
                  <wp:cNvGraphicFramePr/>
                  <a:graphic xmlns:a="http://schemas.openxmlformats.org/drawingml/2006/main">
                    <a:graphicData uri="http://schemas.openxmlformats.org/drawingml/2006/picture">
                      <pic:pic xmlns:pic="http://schemas.openxmlformats.org/drawingml/2006/picture">
                        <pic:nvPicPr>
                          <pic:cNvPr id="4088" name="图片_1_SpCnt_1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089" name="图片_1_SpCnt_18"/>
                  <wp:cNvGraphicFramePr/>
                  <a:graphic xmlns:a="http://schemas.openxmlformats.org/drawingml/2006/main">
                    <a:graphicData uri="http://schemas.openxmlformats.org/drawingml/2006/picture">
                      <pic:pic xmlns:pic="http://schemas.openxmlformats.org/drawingml/2006/picture">
                        <pic:nvPicPr>
                          <pic:cNvPr id="4089" name="图片_1_SpCnt_18"/>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8415"/>
                  <wp:effectExtent l="0" t="0" r="0" b="0"/>
                  <wp:wrapNone/>
                  <wp:docPr id="4090" name="图片_1_SpCnt_19"/>
                  <wp:cNvGraphicFramePr/>
                  <a:graphic xmlns:a="http://schemas.openxmlformats.org/drawingml/2006/main">
                    <a:graphicData uri="http://schemas.openxmlformats.org/drawingml/2006/picture">
                      <pic:pic xmlns:pic="http://schemas.openxmlformats.org/drawingml/2006/picture">
                        <pic:nvPicPr>
                          <pic:cNvPr id="4090" name="图片_1_SpCnt_19"/>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4091" name="图片_1_SpCnt_20"/>
                  <wp:cNvGraphicFramePr/>
                  <a:graphic xmlns:a="http://schemas.openxmlformats.org/drawingml/2006/main">
                    <a:graphicData uri="http://schemas.openxmlformats.org/drawingml/2006/picture">
                      <pic:pic xmlns:pic="http://schemas.openxmlformats.org/drawingml/2006/picture">
                        <pic:nvPicPr>
                          <pic:cNvPr id="4091" name="图片_1_SpCnt_20"/>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4092" name="图片_1_SpCnt_21"/>
                  <wp:cNvGraphicFramePr/>
                  <a:graphic xmlns:a="http://schemas.openxmlformats.org/drawingml/2006/main">
                    <a:graphicData uri="http://schemas.openxmlformats.org/drawingml/2006/picture">
                      <pic:pic xmlns:pic="http://schemas.openxmlformats.org/drawingml/2006/picture">
                        <pic:nvPicPr>
                          <pic:cNvPr id="4092" name="图片_1_SpCnt_21"/>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0160"/>
                  <wp:effectExtent l="0" t="0" r="0" b="0"/>
                  <wp:wrapNone/>
                  <wp:docPr id="4093" name="图片_1_SpCnt_22"/>
                  <wp:cNvGraphicFramePr/>
                  <a:graphic xmlns:a="http://schemas.openxmlformats.org/drawingml/2006/main">
                    <a:graphicData uri="http://schemas.openxmlformats.org/drawingml/2006/picture">
                      <pic:pic xmlns:pic="http://schemas.openxmlformats.org/drawingml/2006/picture">
                        <pic:nvPicPr>
                          <pic:cNvPr id="4093" name="图片_1_SpCnt_2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3335"/>
                  <wp:effectExtent l="0" t="0" r="0" b="0"/>
                  <wp:wrapNone/>
                  <wp:docPr id="4094" name="图片_1_SpCnt_23"/>
                  <wp:cNvGraphicFramePr/>
                  <a:graphic xmlns:a="http://schemas.openxmlformats.org/drawingml/2006/main">
                    <a:graphicData uri="http://schemas.openxmlformats.org/drawingml/2006/picture">
                      <pic:pic xmlns:pic="http://schemas.openxmlformats.org/drawingml/2006/picture">
                        <pic:nvPicPr>
                          <pic:cNvPr id="4094" name="图片_1_SpCnt_23"/>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0160"/>
                  <wp:effectExtent l="0" t="0" r="0" b="0"/>
                  <wp:wrapNone/>
                  <wp:docPr id="4095" name="图片_1_SpCnt_24"/>
                  <wp:cNvGraphicFramePr/>
                  <a:graphic xmlns:a="http://schemas.openxmlformats.org/drawingml/2006/main">
                    <a:graphicData uri="http://schemas.openxmlformats.org/drawingml/2006/picture">
                      <pic:pic xmlns:pic="http://schemas.openxmlformats.org/drawingml/2006/picture">
                        <pic:nvPicPr>
                          <pic:cNvPr id="4095" name="图片_1_SpCnt_2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5875"/>
                  <wp:effectExtent l="0" t="0" r="0" b="0"/>
                  <wp:wrapNone/>
                  <wp:docPr id="4096" name="图片_1_SpCnt_25"/>
                  <wp:cNvGraphicFramePr/>
                  <a:graphic xmlns:a="http://schemas.openxmlformats.org/drawingml/2006/main">
                    <a:graphicData uri="http://schemas.openxmlformats.org/drawingml/2006/picture">
                      <pic:pic xmlns:pic="http://schemas.openxmlformats.org/drawingml/2006/picture">
                        <pic:nvPicPr>
                          <pic:cNvPr id="4096" name="图片_1_SpCnt_2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4097" name="图片_1_SpCnt_26"/>
                  <wp:cNvGraphicFramePr/>
                  <a:graphic xmlns:a="http://schemas.openxmlformats.org/drawingml/2006/main">
                    <a:graphicData uri="http://schemas.openxmlformats.org/drawingml/2006/picture">
                      <pic:pic xmlns:pic="http://schemas.openxmlformats.org/drawingml/2006/picture">
                        <pic:nvPicPr>
                          <pic:cNvPr id="4097" name="图片_1_SpCnt_26"/>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5875"/>
                  <wp:effectExtent l="0" t="0" r="0" b="0"/>
                  <wp:wrapNone/>
                  <wp:docPr id="4098" name="图片_1_SpCnt_27"/>
                  <wp:cNvGraphicFramePr/>
                  <a:graphic xmlns:a="http://schemas.openxmlformats.org/drawingml/2006/main">
                    <a:graphicData uri="http://schemas.openxmlformats.org/drawingml/2006/picture">
                      <pic:pic xmlns:pic="http://schemas.openxmlformats.org/drawingml/2006/picture">
                        <pic:nvPicPr>
                          <pic:cNvPr id="4098" name="图片_1_SpCnt_2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5875"/>
                  <wp:effectExtent l="0" t="0" r="0" b="0"/>
                  <wp:wrapNone/>
                  <wp:docPr id="4099" name="图片_1_SpCnt_28"/>
                  <wp:cNvGraphicFramePr/>
                  <a:graphic xmlns:a="http://schemas.openxmlformats.org/drawingml/2006/main">
                    <a:graphicData uri="http://schemas.openxmlformats.org/drawingml/2006/picture">
                      <pic:pic xmlns:pic="http://schemas.openxmlformats.org/drawingml/2006/picture">
                        <pic:nvPicPr>
                          <pic:cNvPr id="4099" name="图片_1_SpCnt_2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3335"/>
                  <wp:effectExtent l="0" t="0" r="0" b="0"/>
                  <wp:wrapNone/>
                  <wp:docPr id="4100" name="图片_1_SpCnt_29"/>
                  <wp:cNvGraphicFramePr/>
                  <a:graphic xmlns:a="http://schemas.openxmlformats.org/drawingml/2006/main">
                    <a:graphicData uri="http://schemas.openxmlformats.org/drawingml/2006/picture">
                      <pic:pic xmlns:pic="http://schemas.openxmlformats.org/drawingml/2006/picture">
                        <pic:nvPicPr>
                          <pic:cNvPr id="4100" name="图片_1_SpCnt_29"/>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3335"/>
                  <wp:effectExtent l="0" t="0" r="0" b="0"/>
                  <wp:wrapNone/>
                  <wp:docPr id="4101" name="图片_1_SpCnt_30"/>
                  <wp:cNvGraphicFramePr/>
                  <a:graphic xmlns:a="http://schemas.openxmlformats.org/drawingml/2006/main">
                    <a:graphicData uri="http://schemas.openxmlformats.org/drawingml/2006/picture">
                      <pic:pic xmlns:pic="http://schemas.openxmlformats.org/drawingml/2006/picture">
                        <pic:nvPicPr>
                          <pic:cNvPr id="4101"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0160"/>
                  <wp:effectExtent l="0" t="0" r="0" b="0"/>
                  <wp:wrapNone/>
                  <wp:docPr id="4102" name="图片_1_SpCnt_31"/>
                  <wp:cNvGraphicFramePr/>
                  <a:graphic xmlns:a="http://schemas.openxmlformats.org/drawingml/2006/main">
                    <a:graphicData uri="http://schemas.openxmlformats.org/drawingml/2006/picture">
                      <pic:pic xmlns:pic="http://schemas.openxmlformats.org/drawingml/2006/picture">
                        <pic:nvPicPr>
                          <pic:cNvPr id="4102"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0160"/>
                  <wp:effectExtent l="0" t="0" r="0" b="0"/>
                  <wp:wrapNone/>
                  <wp:docPr id="4103" name="图片_1_SpCnt_32"/>
                  <wp:cNvGraphicFramePr/>
                  <a:graphic xmlns:a="http://schemas.openxmlformats.org/drawingml/2006/main">
                    <a:graphicData uri="http://schemas.openxmlformats.org/drawingml/2006/picture">
                      <pic:pic xmlns:pic="http://schemas.openxmlformats.org/drawingml/2006/picture">
                        <pic:nvPicPr>
                          <pic:cNvPr id="4103" name="图片_1_SpCnt_3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5875"/>
                  <wp:effectExtent l="0" t="0" r="0" b="0"/>
                  <wp:wrapNone/>
                  <wp:docPr id="4104" name="图片_1_SpCnt_33"/>
                  <wp:cNvGraphicFramePr/>
                  <a:graphic xmlns:a="http://schemas.openxmlformats.org/drawingml/2006/main">
                    <a:graphicData uri="http://schemas.openxmlformats.org/drawingml/2006/picture">
                      <pic:pic xmlns:pic="http://schemas.openxmlformats.org/drawingml/2006/picture">
                        <pic:nvPicPr>
                          <pic:cNvPr id="4104" name="图片_1_SpCnt_33"/>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3335"/>
                  <wp:effectExtent l="0" t="0" r="0" b="0"/>
                  <wp:wrapNone/>
                  <wp:docPr id="4105" name="图片_1_SpCnt_34"/>
                  <wp:cNvGraphicFramePr/>
                  <a:graphic xmlns:a="http://schemas.openxmlformats.org/drawingml/2006/main">
                    <a:graphicData uri="http://schemas.openxmlformats.org/drawingml/2006/picture">
                      <pic:pic xmlns:pic="http://schemas.openxmlformats.org/drawingml/2006/picture">
                        <pic:nvPicPr>
                          <pic:cNvPr id="4105" name="图片_1_SpCnt_34"/>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106" name="图片_1_SpCnt_35"/>
                  <wp:cNvGraphicFramePr/>
                  <a:graphic xmlns:a="http://schemas.openxmlformats.org/drawingml/2006/main">
                    <a:graphicData uri="http://schemas.openxmlformats.org/drawingml/2006/picture">
                      <pic:pic xmlns:pic="http://schemas.openxmlformats.org/drawingml/2006/picture">
                        <pic:nvPicPr>
                          <pic:cNvPr id="4106" name="图片_1_SpCnt_35"/>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107" name="图片_1_SpCnt_36"/>
                  <wp:cNvGraphicFramePr/>
                  <a:graphic xmlns:a="http://schemas.openxmlformats.org/drawingml/2006/main">
                    <a:graphicData uri="http://schemas.openxmlformats.org/drawingml/2006/picture">
                      <pic:pic xmlns:pic="http://schemas.openxmlformats.org/drawingml/2006/picture">
                        <pic:nvPicPr>
                          <pic:cNvPr id="4107" name="图片_1_SpCnt_36"/>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0160"/>
                  <wp:effectExtent l="0" t="0" r="0" b="0"/>
                  <wp:wrapNone/>
                  <wp:docPr id="4108" name="图片_1_SpCnt_37"/>
                  <wp:cNvGraphicFramePr/>
                  <a:graphic xmlns:a="http://schemas.openxmlformats.org/drawingml/2006/main">
                    <a:graphicData uri="http://schemas.openxmlformats.org/drawingml/2006/picture">
                      <pic:pic xmlns:pic="http://schemas.openxmlformats.org/drawingml/2006/picture">
                        <pic:nvPicPr>
                          <pic:cNvPr id="4108" name="图片_1_SpCnt_37"/>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计划生育家庭特别扶助金审核确认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A7C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工作方式：开展对计划生育家庭特别扶助金的政策宣传，对新增目标人群进行调查摸底及资格确认。</w:t>
            </w:r>
          </w:p>
        </w:tc>
      </w:tr>
      <w:tr w14:paraId="5FEB92E5">
        <w:tblPrEx>
          <w:tblCellMar>
            <w:top w:w="0" w:type="dxa"/>
            <w:left w:w="108" w:type="dxa"/>
            <w:bottom w:w="0" w:type="dxa"/>
            <w:right w:w="108" w:type="dxa"/>
          </w:tblCellMar>
        </w:tblPrEx>
        <w:trPr>
          <w:cantSplit/>
          <w:trHeight w:val="8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92B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547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农村部分计划生育家庭奖励扶助金审核确认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E85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工作方式：开展对农村部分计划生育家庭奖励扶助金的政策宣传，对新增目标人群进行调查摸底及资格确认。</w:t>
            </w:r>
          </w:p>
        </w:tc>
      </w:tr>
      <w:tr w14:paraId="33C2BBF3">
        <w:tblPrEx>
          <w:tblCellMar>
            <w:top w:w="0" w:type="dxa"/>
            <w:left w:w="108" w:type="dxa"/>
            <w:bottom w:w="0" w:type="dxa"/>
            <w:right w:w="108" w:type="dxa"/>
          </w:tblCellMar>
        </w:tblPrEx>
        <w:trPr>
          <w:cantSplit/>
          <w:trHeight w:val="8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0198">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FFF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追回超领、冒领计划生育各类扶助资金、补助资金</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F94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工作方式：畅通投诉、举报渠道，加强对计划生育各类扶助资金、补助资金的监管力度，根据投诉举报线索，及时追回超领、冒领的计划生育各类扶助资金、补助资金。</w:t>
            </w:r>
          </w:p>
        </w:tc>
      </w:tr>
      <w:tr w14:paraId="4E597D9A">
        <w:tblPrEx>
          <w:tblCellMar>
            <w:top w:w="0" w:type="dxa"/>
            <w:left w:w="108" w:type="dxa"/>
            <w:bottom w:w="0" w:type="dxa"/>
            <w:right w:w="108" w:type="dxa"/>
          </w:tblCellMar>
        </w:tblPrEx>
        <w:trPr>
          <w:cantSplit/>
          <w:trHeight w:val="8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2C7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98B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受理用人单位职业病危害项目申报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CE7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工作方式：组织辖区存在职业病危害的相关用人单位通过江苏省用人单位职业健康服务平台进行信息申报，负责对申报信息进行受理并审核。</w:t>
            </w:r>
          </w:p>
        </w:tc>
      </w:tr>
      <w:tr w14:paraId="147056F3">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57C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F22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4109" name="图片_1_SpCnt_50"/>
                  <wp:cNvGraphicFramePr/>
                  <a:graphic xmlns:a="http://schemas.openxmlformats.org/drawingml/2006/main">
                    <a:graphicData uri="http://schemas.openxmlformats.org/drawingml/2006/picture">
                      <pic:pic xmlns:pic="http://schemas.openxmlformats.org/drawingml/2006/picture">
                        <pic:nvPicPr>
                          <pic:cNvPr id="4109" name="图片_1_SpCnt_5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4110" name="图片_1_SpCnt_51"/>
                  <wp:cNvGraphicFramePr/>
                  <a:graphic xmlns:a="http://schemas.openxmlformats.org/drawingml/2006/main">
                    <a:graphicData uri="http://schemas.openxmlformats.org/drawingml/2006/picture">
                      <pic:pic xmlns:pic="http://schemas.openxmlformats.org/drawingml/2006/picture">
                        <pic:nvPicPr>
                          <pic:cNvPr id="4110" name="图片_1_SpCnt_5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4111" name="图片_1_SpCnt_52"/>
                  <wp:cNvGraphicFramePr/>
                  <a:graphic xmlns:a="http://schemas.openxmlformats.org/drawingml/2006/main">
                    <a:graphicData uri="http://schemas.openxmlformats.org/drawingml/2006/picture">
                      <pic:pic xmlns:pic="http://schemas.openxmlformats.org/drawingml/2006/picture">
                        <pic:nvPicPr>
                          <pic:cNvPr id="4111" name="图片_1_SpCnt_5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112" name="图片_1_SpCnt_53"/>
                  <wp:cNvGraphicFramePr/>
                  <a:graphic xmlns:a="http://schemas.openxmlformats.org/drawingml/2006/main">
                    <a:graphicData uri="http://schemas.openxmlformats.org/drawingml/2006/picture">
                      <pic:pic xmlns:pic="http://schemas.openxmlformats.org/drawingml/2006/picture">
                        <pic:nvPicPr>
                          <pic:cNvPr id="4112" name="图片_1_SpCnt_5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113" name="图片_1_SpCnt_54"/>
                  <wp:cNvGraphicFramePr/>
                  <a:graphic xmlns:a="http://schemas.openxmlformats.org/drawingml/2006/main">
                    <a:graphicData uri="http://schemas.openxmlformats.org/drawingml/2006/picture">
                      <pic:pic xmlns:pic="http://schemas.openxmlformats.org/drawingml/2006/picture">
                        <pic:nvPicPr>
                          <pic:cNvPr id="4113" name="图片_1_SpCnt_5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组织宣传动员艾滋病扩大筛查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34E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工作方式：开展政策宣传，做好对65岁及以上老年人和健康证办理人员的免费艾滋病筛查。</w:t>
            </w:r>
          </w:p>
        </w:tc>
      </w:tr>
      <w:tr w14:paraId="0415E778">
        <w:tblPrEx>
          <w:tblCellMar>
            <w:top w:w="0" w:type="dxa"/>
            <w:left w:w="108" w:type="dxa"/>
            <w:bottom w:w="0" w:type="dxa"/>
            <w:right w:w="108" w:type="dxa"/>
          </w:tblCellMar>
        </w:tblPrEx>
        <w:trPr>
          <w:cantSplit/>
          <w:trHeight w:val="110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DDD8">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A08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5875"/>
                  <wp:effectExtent l="0" t="0" r="0" b="0"/>
                  <wp:wrapNone/>
                  <wp:docPr id="4114" name="图片_1_SpCnt_60"/>
                  <wp:cNvGraphicFramePr/>
                  <a:graphic xmlns:a="http://schemas.openxmlformats.org/drawingml/2006/main">
                    <a:graphicData uri="http://schemas.openxmlformats.org/drawingml/2006/picture">
                      <pic:pic xmlns:pic="http://schemas.openxmlformats.org/drawingml/2006/picture">
                        <pic:nvPicPr>
                          <pic:cNvPr id="4114" name="图片_1_SpCnt_6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115" name="图片_1_SpCnt_61"/>
                  <wp:cNvGraphicFramePr/>
                  <a:graphic xmlns:a="http://schemas.openxmlformats.org/drawingml/2006/main">
                    <a:graphicData uri="http://schemas.openxmlformats.org/drawingml/2006/picture">
                      <pic:pic xmlns:pic="http://schemas.openxmlformats.org/drawingml/2006/picture">
                        <pic:nvPicPr>
                          <pic:cNvPr id="4115" name="图片_1_SpCnt_61"/>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5875"/>
                  <wp:effectExtent l="0" t="0" r="0" b="0"/>
                  <wp:wrapNone/>
                  <wp:docPr id="4116" name="图片_1_SpCnt_62"/>
                  <wp:cNvGraphicFramePr/>
                  <a:graphic xmlns:a="http://schemas.openxmlformats.org/drawingml/2006/main">
                    <a:graphicData uri="http://schemas.openxmlformats.org/drawingml/2006/picture">
                      <pic:pic xmlns:pic="http://schemas.openxmlformats.org/drawingml/2006/picture">
                        <pic:nvPicPr>
                          <pic:cNvPr id="4116" name="图片_1_SpCnt_6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0160"/>
                  <wp:effectExtent l="0" t="0" r="0" b="0"/>
                  <wp:wrapNone/>
                  <wp:docPr id="4117" name="图片_1_SpCnt_63"/>
                  <wp:cNvGraphicFramePr/>
                  <a:graphic xmlns:a="http://schemas.openxmlformats.org/drawingml/2006/main">
                    <a:graphicData uri="http://schemas.openxmlformats.org/drawingml/2006/picture">
                      <pic:pic xmlns:pic="http://schemas.openxmlformats.org/drawingml/2006/picture">
                        <pic:nvPicPr>
                          <pic:cNvPr id="4117" name="图片_1_SpCnt_63"/>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医疗机构设立前置检查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7BD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申请的医疗机构级别和类别，对提交材料进行审核，一次性告知需要补正的材料，按照医疗机构标准对现场进行检查。符合法定条件、标准的，受理后审核并在规定时限内作出行政许可决定，主动将相关信息向社会公示。</w:t>
            </w:r>
          </w:p>
        </w:tc>
      </w:tr>
      <w:tr w14:paraId="155D056C">
        <w:tblPrEx>
          <w:tblCellMar>
            <w:top w:w="0" w:type="dxa"/>
            <w:left w:w="108" w:type="dxa"/>
            <w:bottom w:w="0" w:type="dxa"/>
            <w:right w:w="108" w:type="dxa"/>
          </w:tblCellMar>
        </w:tblPrEx>
        <w:trPr>
          <w:cantSplit/>
          <w:trHeight w:val="84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4FB4">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F07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4118" name="图片_1_SpCnt_66"/>
                  <wp:cNvGraphicFramePr/>
                  <a:graphic xmlns:a="http://schemas.openxmlformats.org/drawingml/2006/main">
                    <a:graphicData uri="http://schemas.openxmlformats.org/drawingml/2006/picture">
                      <pic:pic xmlns:pic="http://schemas.openxmlformats.org/drawingml/2006/picture">
                        <pic:nvPicPr>
                          <pic:cNvPr id="4118" name="图片_1_SpCnt_66"/>
                          <pic:cNvPicPr/>
                        </pic:nvPicPr>
                        <pic:blipFill>
                          <a:blip r:embed="rId12"/>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4119" name="图片_1_SpCnt_67"/>
                  <wp:cNvGraphicFramePr/>
                  <a:graphic xmlns:a="http://schemas.openxmlformats.org/drawingml/2006/main">
                    <a:graphicData uri="http://schemas.openxmlformats.org/drawingml/2006/picture">
                      <pic:pic xmlns:pic="http://schemas.openxmlformats.org/drawingml/2006/picture">
                        <pic:nvPicPr>
                          <pic:cNvPr id="4119" name="图片_1_SpCnt_67"/>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0160"/>
                  <wp:effectExtent l="0" t="0" r="0" b="0"/>
                  <wp:wrapNone/>
                  <wp:docPr id="4120" name="图片_1_SpCnt_68"/>
                  <wp:cNvGraphicFramePr/>
                  <a:graphic xmlns:a="http://schemas.openxmlformats.org/drawingml/2006/main">
                    <a:graphicData uri="http://schemas.openxmlformats.org/drawingml/2006/picture">
                      <pic:pic xmlns:pic="http://schemas.openxmlformats.org/drawingml/2006/picture">
                        <pic:nvPicPr>
                          <pic:cNvPr id="4120" name="图片_1_SpCnt_68"/>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3335"/>
                  <wp:effectExtent l="0" t="0" r="0" b="0"/>
                  <wp:wrapNone/>
                  <wp:docPr id="4121" name="图片_1_SpCnt_69"/>
                  <wp:cNvGraphicFramePr/>
                  <a:graphic xmlns:a="http://schemas.openxmlformats.org/drawingml/2006/main">
                    <a:graphicData uri="http://schemas.openxmlformats.org/drawingml/2006/picture">
                      <pic:pic xmlns:pic="http://schemas.openxmlformats.org/drawingml/2006/picture">
                        <pic:nvPicPr>
                          <pic:cNvPr id="4121" name="图片_1_SpCnt_69"/>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8415"/>
                  <wp:effectExtent l="0" t="0" r="0" b="0"/>
                  <wp:wrapNone/>
                  <wp:docPr id="4122" name="图片_1_SpCnt_70"/>
                  <wp:cNvGraphicFramePr/>
                  <a:graphic xmlns:a="http://schemas.openxmlformats.org/drawingml/2006/main">
                    <a:graphicData uri="http://schemas.openxmlformats.org/drawingml/2006/picture">
                      <pic:pic xmlns:pic="http://schemas.openxmlformats.org/drawingml/2006/picture">
                        <pic:nvPicPr>
                          <pic:cNvPr id="4122" name="图片_1_SpCnt_70"/>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3335"/>
                  <wp:effectExtent l="0" t="0" r="0" b="0"/>
                  <wp:wrapNone/>
                  <wp:docPr id="4123" name="图片_1_SpCnt_71"/>
                  <wp:cNvGraphicFramePr/>
                  <a:graphic xmlns:a="http://schemas.openxmlformats.org/drawingml/2006/main">
                    <a:graphicData uri="http://schemas.openxmlformats.org/drawingml/2006/picture">
                      <pic:pic xmlns:pic="http://schemas.openxmlformats.org/drawingml/2006/picture">
                        <pic:nvPicPr>
                          <pic:cNvPr id="4123" name="图片_1_SpCnt_71"/>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5875"/>
                  <wp:effectExtent l="0" t="0" r="0" b="0"/>
                  <wp:wrapNone/>
                  <wp:docPr id="4124" name="图片_1_SpCnt_72"/>
                  <wp:cNvGraphicFramePr/>
                  <a:graphic xmlns:a="http://schemas.openxmlformats.org/drawingml/2006/main">
                    <a:graphicData uri="http://schemas.openxmlformats.org/drawingml/2006/picture">
                      <pic:pic xmlns:pic="http://schemas.openxmlformats.org/drawingml/2006/picture">
                        <pic:nvPicPr>
                          <pic:cNvPr id="4124" name="图片_1_SpCnt_7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0160"/>
                  <wp:effectExtent l="0" t="0" r="0" b="0"/>
                  <wp:wrapNone/>
                  <wp:docPr id="4125" name="图片_1_SpCnt_73"/>
                  <wp:cNvGraphicFramePr/>
                  <a:graphic xmlns:a="http://schemas.openxmlformats.org/drawingml/2006/main">
                    <a:graphicData uri="http://schemas.openxmlformats.org/drawingml/2006/picture">
                      <pic:pic xmlns:pic="http://schemas.openxmlformats.org/drawingml/2006/picture">
                        <pic:nvPicPr>
                          <pic:cNvPr id="4125" name="图片_1_SpCnt_7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5875"/>
                  <wp:effectExtent l="0" t="0" r="0" b="0"/>
                  <wp:wrapNone/>
                  <wp:docPr id="4126" name="图片_1_SpCnt_74"/>
                  <wp:cNvGraphicFramePr/>
                  <a:graphic xmlns:a="http://schemas.openxmlformats.org/drawingml/2006/main">
                    <a:graphicData uri="http://schemas.openxmlformats.org/drawingml/2006/picture">
                      <pic:pic xmlns:pic="http://schemas.openxmlformats.org/drawingml/2006/picture">
                        <pic:nvPicPr>
                          <pic:cNvPr id="4126" name="图片_1_SpCnt_74"/>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4127" name="图片_1_SpCnt_75"/>
                  <wp:cNvGraphicFramePr/>
                  <a:graphic xmlns:a="http://schemas.openxmlformats.org/drawingml/2006/main">
                    <a:graphicData uri="http://schemas.openxmlformats.org/drawingml/2006/picture">
                      <pic:pic xmlns:pic="http://schemas.openxmlformats.org/drawingml/2006/picture">
                        <pic:nvPicPr>
                          <pic:cNvPr id="4127" name="图片_1_SpCnt_7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0160"/>
                  <wp:effectExtent l="0" t="0" r="0" b="0"/>
                  <wp:wrapNone/>
                  <wp:docPr id="4128" name="图片_1_SpCnt_76"/>
                  <wp:cNvGraphicFramePr/>
                  <a:graphic xmlns:a="http://schemas.openxmlformats.org/drawingml/2006/main">
                    <a:graphicData uri="http://schemas.openxmlformats.org/drawingml/2006/picture">
                      <pic:pic xmlns:pic="http://schemas.openxmlformats.org/drawingml/2006/picture">
                        <pic:nvPicPr>
                          <pic:cNvPr id="4128" name="图片_1_SpCnt_7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对新生儿在医疗保健机构以外地点死亡的核查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CEB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工作方式：局派驻镇（街道）的卫健服务中心负责每季度对辖区内的5岁以下儿童信息进行核查，备注记录死亡、迁出等情况。</w:t>
            </w:r>
          </w:p>
        </w:tc>
      </w:tr>
      <w:tr w14:paraId="65107BC9">
        <w:tblPrEx>
          <w:tblCellMar>
            <w:top w:w="0" w:type="dxa"/>
            <w:left w:w="108" w:type="dxa"/>
            <w:bottom w:w="0" w:type="dxa"/>
            <w:right w:w="108" w:type="dxa"/>
          </w:tblCellMar>
        </w:tblPrEx>
        <w:trPr>
          <w:cantSplit/>
          <w:trHeight w:val="5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D37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587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再生育审批</w:t>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129" name="图片_1_SpCnt_79"/>
                  <wp:cNvGraphicFramePr/>
                  <a:graphic xmlns:a="http://schemas.openxmlformats.org/drawingml/2006/main">
                    <a:graphicData uri="http://schemas.openxmlformats.org/drawingml/2006/picture">
                      <pic:pic xmlns:pic="http://schemas.openxmlformats.org/drawingml/2006/picture">
                        <pic:nvPicPr>
                          <pic:cNvPr id="4129" name="图片_1_SpCnt_79"/>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3335"/>
                  <wp:effectExtent l="0" t="0" r="0" b="0"/>
                  <wp:wrapNone/>
                  <wp:docPr id="4130" name="图片_1_SpCnt_80"/>
                  <wp:cNvGraphicFramePr/>
                  <a:graphic xmlns:a="http://schemas.openxmlformats.org/drawingml/2006/main">
                    <a:graphicData uri="http://schemas.openxmlformats.org/drawingml/2006/picture">
                      <pic:pic xmlns:pic="http://schemas.openxmlformats.org/drawingml/2006/picture">
                        <pic:nvPicPr>
                          <pic:cNvPr id="4130" name="图片_1_SpCnt_80"/>
                          <pic:cNvPicPr/>
                        </pic:nvPicPr>
                        <pic:blipFill>
                          <a:blip r:embed="rId8"/>
                          <a:stretch>
                            <a:fillRect/>
                          </a:stretch>
                        </pic:blipFill>
                        <pic:spPr>
                          <a:xfrm>
                            <a:off x="0" y="0"/>
                            <a:ext cx="20320" cy="1333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552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根据优化生育政策要求，不再开展此项工作。</w:t>
            </w:r>
          </w:p>
        </w:tc>
      </w:tr>
      <w:tr w14:paraId="7D4D2CF9">
        <w:tblPrEx>
          <w:tblCellMar>
            <w:top w:w="0" w:type="dxa"/>
            <w:left w:w="108" w:type="dxa"/>
            <w:bottom w:w="0" w:type="dxa"/>
            <w:right w:w="108" w:type="dxa"/>
          </w:tblCellMar>
        </w:tblPrEx>
        <w:trPr>
          <w:cantSplit/>
          <w:trHeight w:val="50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03E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599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131" name="图片_1_SpCnt_84"/>
                  <wp:cNvGraphicFramePr/>
                  <a:graphic xmlns:a="http://schemas.openxmlformats.org/drawingml/2006/main">
                    <a:graphicData uri="http://schemas.openxmlformats.org/drawingml/2006/picture">
                      <pic:pic xmlns:pic="http://schemas.openxmlformats.org/drawingml/2006/picture">
                        <pic:nvPicPr>
                          <pic:cNvPr id="4131" name="图片_1_SpCnt_84"/>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18415"/>
                  <wp:effectExtent l="0" t="0" r="0" b="0"/>
                  <wp:wrapNone/>
                  <wp:docPr id="4132" name="图片_1_SpCnt_85"/>
                  <wp:cNvGraphicFramePr/>
                  <a:graphic xmlns:a="http://schemas.openxmlformats.org/drawingml/2006/main">
                    <a:graphicData uri="http://schemas.openxmlformats.org/drawingml/2006/picture">
                      <pic:pic xmlns:pic="http://schemas.openxmlformats.org/drawingml/2006/picture">
                        <pic:nvPicPr>
                          <pic:cNvPr id="4132" name="图片_1_SpCnt_85"/>
                          <pic:cNvPicPr/>
                        </pic:nvPicPr>
                        <pic:blipFill>
                          <a:blip r:embed="rId12"/>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组织已婚育龄妇女进行孕情检查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C04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根据优化生育政策要求，不再开展此项工作。</w:t>
            </w:r>
          </w:p>
        </w:tc>
      </w:tr>
      <w:tr w14:paraId="29FEBB60">
        <w:tblPrEx>
          <w:tblCellMar>
            <w:top w:w="0" w:type="dxa"/>
            <w:left w:w="108" w:type="dxa"/>
            <w:bottom w:w="0" w:type="dxa"/>
            <w:right w:w="108" w:type="dxa"/>
          </w:tblCellMar>
        </w:tblPrEx>
        <w:trPr>
          <w:cantSplit/>
          <w:trHeight w:val="51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7BD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500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社会抚养费征收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208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10EA13C0">
        <w:tblPrEx>
          <w:tblCellMar>
            <w:top w:w="0" w:type="dxa"/>
            <w:left w:w="108" w:type="dxa"/>
            <w:bottom w:w="0" w:type="dxa"/>
            <w:right w:w="108" w:type="dxa"/>
          </w:tblCellMar>
        </w:tblPrEx>
        <w:trPr>
          <w:cantSplit/>
          <w:trHeight w:val="6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675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BBE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办理《流动人口婚育证明》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F64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1981040C">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E5599">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十、应急管理及消防（11项）</w:t>
            </w:r>
          </w:p>
        </w:tc>
      </w:tr>
      <w:tr w14:paraId="6C52E8D1">
        <w:tblPrEx>
          <w:tblCellMar>
            <w:top w:w="0" w:type="dxa"/>
            <w:left w:w="108" w:type="dxa"/>
            <w:bottom w:w="0" w:type="dxa"/>
            <w:right w:w="108" w:type="dxa"/>
          </w:tblCellMar>
        </w:tblPrEx>
        <w:trPr>
          <w:cantSplit/>
          <w:trHeight w:val="88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48D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170F">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对消防设施、器材、消防安全标志配置、设置不符合标准的处罚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BBD6">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工作方式：畅通投诉、举报渠道，加强对消防设施、器材、消防安全标志的配置、设置行为的监管力度，依法依规对违反国家标准、行业标准的行为进行处置。</w:t>
            </w:r>
          </w:p>
        </w:tc>
      </w:tr>
      <w:tr w14:paraId="5D5FA8C8">
        <w:tblPrEx>
          <w:tblCellMar>
            <w:top w:w="0" w:type="dxa"/>
            <w:left w:w="108" w:type="dxa"/>
            <w:bottom w:w="0" w:type="dxa"/>
            <w:right w:w="108" w:type="dxa"/>
          </w:tblCellMar>
        </w:tblPrEx>
        <w:trPr>
          <w:cantSplit/>
          <w:trHeight w:val="4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E671">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82E2">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对消防设施、器材、消防安全标志未保持完好有效的处罚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9FFF">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工作方式：畅通投诉、举报渠道，加强对消防设施、器材、消防安全标志使用的监管力度，依法依规对消防设施、器材、消防安全标志未保持完好有效的行为进行处置。</w:t>
            </w:r>
          </w:p>
        </w:tc>
      </w:tr>
      <w:tr w14:paraId="616DB0C9">
        <w:tblPrEx>
          <w:tblCellMar>
            <w:top w:w="0" w:type="dxa"/>
            <w:left w:w="108" w:type="dxa"/>
            <w:bottom w:w="0" w:type="dxa"/>
            <w:right w:w="108" w:type="dxa"/>
          </w:tblCellMar>
        </w:tblPrEx>
        <w:trPr>
          <w:cantSplit/>
          <w:trHeight w:val="4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813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4C99">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对损坏、挪用消防设施、器材的处罚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41DC">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工作方式：畅通投诉、举报渠道，加强对消防设施、器材使用的监管力度，依法依规对损坏、挪用消防设施、器材的行为进行处置。</w:t>
            </w:r>
          </w:p>
        </w:tc>
      </w:tr>
      <w:tr w14:paraId="35DE55B3">
        <w:tblPrEx>
          <w:tblCellMar>
            <w:top w:w="0" w:type="dxa"/>
            <w:left w:w="108" w:type="dxa"/>
            <w:bottom w:w="0" w:type="dxa"/>
            <w:right w:w="108" w:type="dxa"/>
          </w:tblCellMar>
        </w:tblPrEx>
        <w:trPr>
          <w:cantSplit/>
          <w:trHeight w:val="25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41C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A03B">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对擅自停用、拆除消防设施、器材的处罚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049D">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工作方式：畅通投诉、举报渠道，加强对消防设施、器材使用的监管力度，依法依规对擅自停用、拆除消防设施、器材的行为进行处置。</w:t>
            </w:r>
          </w:p>
        </w:tc>
      </w:tr>
      <w:tr w14:paraId="60DA932C">
        <w:tblPrEx>
          <w:tblCellMar>
            <w:top w:w="0" w:type="dxa"/>
            <w:left w:w="108" w:type="dxa"/>
            <w:bottom w:w="0" w:type="dxa"/>
            <w:right w:w="108" w:type="dxa"/>
          </w:tblCellMar>
        </w:tblPrEx>
        <w:trPr>
          <w:cantSplit/>
          <w:trHeight w:val="61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4BC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D3F4">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对埋压、圈占、遮挡消火栓的处罚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DDFE">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工作方式：畅通投诉、举报渠道，加强对消火栓日常管理维护的监管力度，依法依规对埋压、圈占、遮挡消火栓的行为进行处置。</w:t>
            </w:r>
          </w:p>
        </w:tc>
      </w:tr>
      <w:tr w14:paraId="2FDE3D70">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42E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F413">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对占用、堵塞、封闭疏散通道、安全出口或者有其他妨碍安全疏散行为的处罚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1902">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工作方式：畅通投诉、举报渠道，加强对疏散通道、安全出口的监管力度，依法依规对占用、堵塞、封闭疏散通道、安全出口的行为进行处置。</w:t>
            </w:r>
          </w:p>
        </w:tc>
      </w:tr>
      <w:tr w14:paraId="51B487CA">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1AA8">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8FE7">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对占用、堵塞、封闭消防车通道，妨碍消防车通行的处罚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CAD2">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工作方式：畅通投诉、举报渠道，加强对消防通道的监管力度，依法依规对占用、堵塞、封闭消防车通道的行为进行处置。</w:t>
            </w:r>
          </w:p>
        </w:tc>
      </w:tr>
      <w:tr w14:paraId="6CAD6169">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916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0207">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对门窗上设置影响逃生、灭火救援的障碍物的处罚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74C2">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工作方式：畅通投诉、举报渠道，加强对有关工作的监管力度，依法依规对人员密集场所在门窗上设置影响逃生、灭火救援的障碍物的行为进行处置。</w:t>
            </w:r>
          </w:p>
        </w:tc>
      </w:tr>
      <w:tr w14:paraId="7AB7029A">
        <w:tblPrEx>
          <w:tblCellMar>
            <w:top w:w="0" w:type="dxa"/>
            <w:left w:w="108" w:type="dxa"/>
            <w:bottom w:w="0" w:type="dxa"/>
            <w:right w:w="108" w:type="dxa"/>
          </w:tblCellMar>
        </w:tblPrEx>
        <w:trPr>
          <w:cantSplit/>
          <w:trHeight w:val="8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384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C6D6">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对生产、储存、经营其他场所与居住场所设置在同一建筑物内不符合消防技术标准的处罚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1BCF">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工作方式：畅通投诉、举报渠道，加强对有关工作的监管力度，依法依规对其他场所与居住场所设置在同一建筑物内不符合消防技术标准的行为进行处置。</w:t>
            </w:r>
          </w:p>
        </w:tc>
      </w:tr>
      <w:tr w14:paraId="41F5C030">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FD1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4A16">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对电器产品的安装、使用不符合规定的处罚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A6D0">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工作方式：畅通投诉、举报渠道，加强对电器产品安装、使用行为的监管力度，依法依规对电器产品的安装、使用不符合规定的行为进行处置。</w:t>
            </w:r>
          </w:p>
        </w:tc>
      </w:tr>
      <w:tr w14:paraId="5E7DEC30">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CE6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81B9">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对电器线路的设计、敷设、维护保养、检测不符合规定的处罚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DB99">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工作方式：畅通投诉、举报渠道，加强对电器线路设计等行为的监管力度，依法依规对电器线路的设计、敷设、维护保养、检测不符合规定的行为进行处置。</w:t>
            </w:r>
          </w:p>
        </w:tc>
      </w:tr>
      <w:tr w14:paraId="1C150494">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675CAF">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十一、市场监管（6项）</w:t>
            </w:r>
          </w:p>
        </w:tc>
      </w:tr>
      <w:tr w14:paraId="39B80F5D">
        <w:tblPrEx>
          <w:tblCellMar>
            <w:top w:w="0" w:type="dxa"/>
            <w:left w:w="108" w:type="dxa"/>
            <w:bottom w:w="0" w:type="dxa"/>
            <w:right w:w="108" w:type="dxa"/>
          </w:tblCellMar>
        </w:tblPrEx>
        <w:trPr>
          <w:cantSplit/>
          <w:trHeight w:val="1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A18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B7BD">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fldChar w:fldCharType="begin"/>
            </w:r>
            <w:r>
              <w:rPr>
                <w:rFonts w:hint="default" w:ascii="Times New Roman" w:hAnsi="Times New Roman" w:eastAsia="方正仿宋_GBK" w:cs="Times New Roman"/>
                <w:snapToGrid w:val="0"/>
                <w:color w:val="auto"/>
                <w:kern w:val="0"/>
                <w:szCs w:val="21"/>
                <w:lang w:val="en-US" w:eastAsia="zh-CN" w:bidi="ar"/>
              </w:rPr>
              <w:instrText xml:space="preserve"> HYPERLINK "http://www.js.gov.cn/qlygpt/wbtj/gs/qz/201012/t20101209_545135.html" \o "http://www.js.gov.cn/qlygpt/wbtj/gs/qz/201012/t20101209_545135.html" </w:instrText>
            </w:r>
            <w:r>
              <w:rPr>
                <w:rFonts w:hint="default" w:ascii="Times New Roman" w:hAnsi="Times New Roman" w:eastAsia="方正仿宋_GBK" w:cs="Times New Roman"/>
                <w:snapToGrid w:val="0"/>
                <w:color w:val="auto"/>
                <w:kern w:val="0"/>
                <w:szCs w:val="21"/>
                <w:lang w:val="en-US" w:eastAsia="zh-CN" w:bidi="ar"/>
              </w:rPr>
              <w:fldChar w:fldCharType="separate"/>
            </w:r>
            <w:r>
              <w:rPr>
                <w:rFonts w:hint="default" w:ascii="Times New Roman" w:hAnsi="Times New Roman" w:eastAsia="方正仿宋_GBK" w:cs="Times New Roman"/>
                <w:snapToGrid w:val="0"/>
                <w:color w:val="auto"/>
                <w:kern w:val="0"/>
                <w:szCs w:val="21"/>
                <w:lang w:val="en-US" w:eastAsia="zh-CN" w:bidi="ar"/>
              </w:rPr>
              <w:t>对涉嫌无照经营行为进行查处取缔时，查封、扣押与无照经营行为有关的合同、票据、账簿以及其他资料</w:t>
            </w:r>
            <w:r>
              <w:rPr>
                <w:rFonts w:hint="default" w:ascii="Times New Roman" w:hAnsi="Times New Roman" w:eastAsia="方正仿宋_GBK" w:cs="Times New Roman"/>
                <w:snapToGrid w:val="0"/>
                <w:color w:val="auto"/>
                <w:kern w:val="0"/>
                <w:szCs w:val="21"/>
                <w:lang w:val="en-US" w:eastAsia="zh-CN" w:bidi="ar"/>
              </w:rPr>
              <w:fldChar w:fldCharType="end"/>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2197">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工作方式：按照年度工作计划，对无照经营行为进行监督检查，依法依规进行处理。</w:t>
            </w:r>
          </w:p>
        </w:tc>
      </w:tr>
      <w:tr w14:paraId="2B32791B">
        <w:tblPrEx>
          <w:tblCellMar>
            <w:top w:w="0" w:type="dxa"/>
            <w:left w:w="108" w:type="dxa"/>
            <w:bottom w:w="0" w:type="dxa"/>
            <w:right w:w="108" w:type="dxa"/>
          </w:tblCellMar>
        </w:tblPrEx>
        <w:trPr>
          <w:cantSplit/>
          <w:trHeight w:val="131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934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FE47">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1430"/>
                  <wp:effectExtent l="0" t="0" r="0" b="0"/>
                  <wp:wrapNone/>
                  <wp:docPr id="4133" name="图片_1"/>
                  <wp:cNvGraphicFramePr/>
                  <a:graphic xmlns:a="http://schemas.openxmlformats.org/drawingml/2006/main">
                    <a:graphicData uri="http://schemas.openxmlformats.org/drawingml/2006/picture">
                      <pic:pic xmlns:pic="http://schemas.openxmlformats.org/drawingml/2006/picture">
                        <pic:nvPicPr>
                          <pic:cNvPr id="4133" name="图片_1"/>
                          <pic:cNvPicPr/>
                        </pic:nvPicPr>
                        <pic:blipFill>
                          <a:blip r:embed="rId6"/>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7620"/>
                  <wp:effectExtent l="0" t="0" r="0" b="0"/>
                  <wp:wrapNone/>
                  <wp:docPr id="4134" name="图片_1_SpCnt_1"/>
                  <wp:cNvGraphicFramePr/>
                  <a:graphic xmlns:a="http://schemas.openxmlformats.org/drawingml/2006/main">
                    <a:graphicData uri="http://schemas.openxmlformats.org/drawingml/2006/picture">
                      <pic:pic xmlns:pic="http://schemas.openxmlformats.org/drawingml/2006/picture">
                        <pic:nvPicPr>
                          <pic:cNvPr id="4134" name="图片_1_SpCnt_1"/>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4135" name="图片_1_SpCnt_2"/>
                  <wp:cNvGraphicFramePr/>
                  <a:graphic xmlns:a="http://schemas.openxmlformats.org/drawingml/2006/main">
                    <a:graphicData uri="http://schemas.openxmlformats.org/drawingml/2006/picture">
                      <pic:pic xmlns:pic="http://schemas.openxmlformats.org/drawingml/2006/picture">
                        <pic:nvPicPr>
                          <pic:cNvPr id="4135" name="图片_1_SpCnt_2"/>
                          <pic:cNvPicPr/>
                        </pic:nvPicPr>
                        <pic:blipFill>
                          <a:blip r:embed="rId8"/>
                          <a:stretch>
                            <a:fillRect/>
                          </a:stretch>
                        </pic:blipFill>
                        <pic:spPr>
                          <a:xfrm>
                            <a:off x="0" y="0"/>
                            <a:ext cx="20320" cy="1968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4136" name="图片_1_SpCnt_3"/>
                  <wp:cNvGraphicFramePr/>
                  <a:graphic xmlns:a="http://schemas.openxmlformats.org/drawingml/2006/main">
                    <a:graphicData uri="http://schemas.openxmlformats.org/drawingml/2006/picture">
                      <pic:pic xmlns:pic="http://schemas.openxmlformats.org/drawingml/2006/picture">
                        <pic:nvPicPr>
                          <pic:cNvPr id="4136" name="图片_1_SpCnt_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4137" name="图片_1_SpCnt_4"/>
                  <wp:cNvGraphicFramePr/>
                  <a:graphic xmlns:a="http://schemas.openxmlformats.org/drawingml/2006/main">
                    <a:graphicData uri="http://schemas.openxmlformats.org/drawingml/2006/picture">
                      <pic:pic xmlns:pic="http://schemas.openxmlformats.org/drawingml/2006/picture">
                        <pic:nvPicPr>
                          <pic:cNvPr id="4137" name="图片_1_SpCnt_4"/>
                          <pic:cNvPicPr/>
                        </pic:nvPicPr>
                        <pic:blipFill>
                          <a:blip r:embed="rId7"/>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5875"/>
                  <wp:effectExtent l="0" t="0" r="0" b="0"/>
                  <wp:wrapNone/>
                  <wp:docPr id="4138" name="图片_1_SpCnt_5"/>
                  <wp:cNvGraphicFramePr/>
                  <a:graphic xmlns:a="http://schemas.openxmlformats.org/drawingml/2006/main">
                    <a:graphicData uri="http://schemas.openxmlformats.org/drawingml/2006/picture">
                      <pic:pic xmlns:pic="http://schemas.openxmlformats.org/drawingml/2006/picture">
                        <pic:nvPicPr>
                          <pic:cNvPr id="4138" name="图片_1_SpCnt_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对价格违法行为的监管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D631">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工作方式：组织实施商品价格、服务价格以及国家机关、事业单位行政事业性收费的监管，开展价格违法行为宣传、提醒和告诫，负责价格和收费检查工作的业务指导。</w:t>
            </w:r>
          </w:p>
        </w:tc>
      </w:tr>
      <w:tr w14:paraId="2787091E">
        <w:tblPrEx>
          <w:tblCellMar>
            <w:top w:w="0" w:type="dxa"/>
            <w:left w:w="108" w:type="dxa"/>
            <w:bottom w:w="0" w:type="dxa"/>
            <w:right w:w="108" w:type="dxa"/>
          </w:tblCellMar>
        </w:tblPrEx>
        <w:trPr>
          <w:cantSplit/>
          <w:trHeight w:val="12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4E2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A386">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计量监管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75F6">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工作方式：开展诚信计量宣传，推行法定计量单位使用，组织实施计量器具监督管理。</w:t>
            </w:r>
          </w:p>
        </w:tc>
      </w:tr>
      <w:tr w14:paraId="5AF3A1EF">
        <w:tblPrEx>
          <w:tblCellMar>
            <w:top w:w="0" w:type="dxa"/>
            <w:left w:w="108" w:type="dxa"/>
            <w:bottom w:w="0" w:type="dxa"/>
            <w:right w:w="108" w:type="dxa"/>
          </w:tblCellMar>
        </w:tblPrEx>
        <w:trPr>
          <w:cantSplit/>
          <w:trHeight w:val="6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D11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6FD9">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在当地主要媒体上公告被吊销许可证照的生产经营者名单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F349">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工作方式：各办案机构办理案件中对食品生产经营者作出吊销许可证照的处罚决定的，食品生产许可证报食品科后向市局反馈进行吊销，食品经营许可证报送行政审批科进行吊销。</w:t>
            </w:r>
          </w:p>
        </w:tc>
      </w:tr>
      <w:tr w14:paraId="4C8C67FD">
        <w:tblPrEx>
          <w:tblCellMar>
            <w:top w:w="0" w:type="dxa"/>
            <w:left w:w="108" w:type="dxa"/>
            <w:bottom w:w="0" w:type="dxa"/>
            <w:right w:w="108" w:type="dxa"/>
          </w:tblCellMar>
        </w:tblPrEx>
        <w:trPr>
          <w:cantSplit/>
          <w:trHeight w:val="6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5BB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98F7">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0160"/>
                  <wp:effectExtent l="0" t="0" r="0" b="0"/>
                  <wp:wrapNone/>
                  <wp:docPr id="4139" name="图片_1_SpCnt_10"/>
                  <wp:cNvGraphicFramePr/>
                  <a:graphic xmlns:a="http://schemas.openxmlformats.org/drawingml/2006/main">
                    <a:graphicData uri="http://schemas.openxmlformats.org/drawingml/2006/picture">
                      <pic:pic xmlns:pic="http://schemas.openxmlformats.org/drawingml/2006/picture">
                        <pic:nvPicPr>
                          <pic:cNvPr id="4139" name="图片_1_SpCnt_1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0160"/>
                  <wp:effectExtent l="0" t="0" r="0" b="0"/>
                  <wp:wrapNone/>
                  <wp:docPr id="4140" name="图片_1_SpCnt_11"/>
                  <wp:cNvGraphicFramePr/>
                  <a:graphic xmlns:a="http://schemas.openxmlformats.org/drawingml/2006/main">
                    <a:graphicData uri="http://schemas.openxmlformats.org/drawingml/2006/picture">
                      <pic:pic xmlns:pic="http://schemas.openxmlformats.org/drawingml/2006/picture">
                        <pic:nvPicPr>
                          <pic:cNvPr id="4140"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141" name="图片_1_SpCnt_12"/>
                  <wp:cNvGraphicFramePr/>
                  <a:graphic xmlns:a="http://schemas.openxmlformats.org/drawingml/2006/main">
                    <a:graphicData uri="http://schemas.openxmlformats.org/drawingml/2006/picture">
                      <pic:pic xmlns:pic="http://schemas.openxmlformats.org/drawingml/2006/picture">
                        <pic:nvPicPr>
                          <pic:cNvPr id="4141" name="图片_1_SpCnt_1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5875"/>
                  <wp:effectExtent l="0" t="0" r="0" b="0"/>
                  <wp:wrapNone/>
                  <wp:docPr id="4142" name="图片_1_SpCnt_13"/>
                  <wp:cNvGraphicFramePr/>
                  <a:graphic xmlns:a="http://schemas.openxmlformats.org/drawingml/2006/main">
                    <a:graphicData uri="http://schemas.openxmlformats.org/drawingml/2006/picture">
                      <pic:pic xmlns:pic="http://schemas.openxmlformats.org/drawingml/2006/picture">
                        <pic:nvPicPr>
                          <pic:cNvPr id="4142" name="图片_1_SpCnt_13"/>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1430"/>
                  <wp:effectExtent l="0" t="0" r="0" b="0"/>
                  <wp:wrapNone/>
                  <wp:docPr id="4143" name="图片_9"/>
                  <wp:cNvGraphicFramePr/>
                  <a:graphic xmlns:a="http://schemas.openxmlformats.org/drawingml/2006/main">
                    <a:graphicData uri="http://schemas.openxmlformats.org/drawingml/2006/picture">
                      <pic:pic xmlns:pic="http://schemas.openxmlformats.org/drawingml/2006/picture">
                        <pic:nvPicPr>
                          <pic:cNvPr id="4143"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4144" name="图片_1_SpCnt_14"/>
                  <wp:cNvGraphicFramePr/>
                  <a:graphic xmlns:a="http://schemas.openxmlformats.org/drawingml/2006/main">
                    <a:graphicData uri="http://schemas.openxmlformats.org/drawingml/2006/picture">
                      <pic:pic xmlns:pic="http://schemas.openxmlformats.org/drawingml/2006/picture">
                        <pic:nvPicPr>
                          <pic:cNvPr id="4144" name="图片_1_SpCnt_14"/>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8415"/>
                  <wp:effectExtent l="0" t="0" r="0" b="0"/>
                  <wp:wrapNone/>
                  <wp:docPr id="4145" name="图片_1_SpCnt_15"/>
                  <wp:cNvGraphicFramePr/>
                  <a:graphic xmlns:a="http://schemas.openxmlformats.org/drawingml/2006/main">
                    <a:graphicData uri="http://schemas.openxmlformats.org/drawingml/2006/picture">
                      <pic:pic xmlns:pic="http://schemas.openxmlformats.org/drawingml/2006/picture">
                        <pic:nvPicPr>
                          <pic:cNvPr id="4145" name="图片_1_SpCnt_1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146" name="图片_1_SpCnt_16"/>
                  <wp:cNvGraphicFramePr/>
                  <a:graphic xmlns:a="http://schemas.openxmlformats.org/drawingml/2006/main">
                    <a:graphicData uri="http://schemas.openxmlformats.org/drawingml/2006/picture">
                      <pic:pic xmlns:pic="http://schemas.openxmlformats.org/drawingml/2006/picture">
                        <pic:nvPicPr>
                          <pic:cNvPr id="4146" name="图片_1_SpCnt_1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147" name="图片_1_SpCnt_17"/>
                  <wp:cNvGraphicFramePr/>
                  <a:graphic xmlns:a="http://schemas.openxmlformats.org/drawingml/2006/main">
                    <a:graphicData uri="http://schemas.openxmlformats.org/drawingml/2006/picture">
                      <pic:pic xmlns:pic="http://schemas.openxmlformats.org/drawingml/2006/picture">
                        <pic:nvPicPr>
                          <pic:cNvPr id="4147" name="图片_1_SpCnt_1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4148" name="图片_1_SpCnt_18"/>
                  <wp:cNvGraphicFramePr/>
                  <a:graphic xmlns:a="http://schemas.openxmlformats.org/drawingml/2006/main">
                    <a:graphicData uri="http://schemas.openxmlformats.org/drawingml/2006/picture">
                      <pic:pic xmlns:pic="http://schemas.openxmlformats.org/drawingml/2006/picture">
                        <pic:nvPicPr>
                          <pic:cNvPr id="4148" name="图片_1_SpCnt_18"/>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149" name="图片_1_SpCnt_19"/>
                  <wp:cNvGraphicFramePr/>
                  <a:graphic xmlns:a="http://schemas.openxmlformats.org/drawingml/2006/main">
                    <a:graphicData uri="http://schemas.openxmlformats.org/drawingml/2006/picture">
                      <pic:pic xmlns:pic="http://schemas.openxmlformats.org/drawingml/2006/picture">
                        <pic:nvPicPr>
                          <pic:cNvPr id="4149" name="图片_1_SpCnt_19"/>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4150" name="图片_1_SpCnt_20"/>
                  <wp:cNvGraphicFramePr/>
                  <a:graphic xmlns:a="http://schemas.openxmlformats.org/drawingml/2006/main">
                    <a:graphicData uri="http://schemas.openxmlformats.org/drawingml/2006/picture">
                      <pic:pic xmlns:pic="http://schemas.openxmlformats.org/drawingml/2006/picture">
                        <pic:nvPicPr>
                          <pic:cNvPr id="4150" name="图片_1_SpCnt_20"/>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1430"/>
                  <wp:effectExtent l="0" t="0" r="0" b="0"/>
                  <wp:wrapNone/>
                  <wp:docPr id="4151" name="图片_1_SpCnt_21"/>
                  <wp:cNvGraphicFramePr/>
                  <a:graphic xmlns:a="http://schemas.openxmlformats.org/drawingml/2006/main">
                    <a:graphicData uri="http://schemas.openxmlformats.org/drawingml/2006/picture">
                      <pic:pic xmlns:pic="http://schemas.openxmlformats.org/drawingml/2006/picture">
                        <pic:nvPicPr>
                          <pic:cNvPr id="4151" name="图片_1_SpCnt_21"/>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5875"/>
                  <wp:effectExtent l="0" t="0" r="0" b="0"/>
                  <wp:wrapNone/>
                  <wp:docPr id="4152" name="图片_1_SpCnt_22"/>
                  <wp:cNvGraphicFramePr/>
                  <a:graphic xmlns:a="http://schemas.openxmlformats.org/drawingml/2006/main">
                    <a:graphicData uri="http://schemas.openxmlformats.org/drawingml/2006/picture">
                      <pic:pic xmlns:pic="http://schemas.openxmlformats.org/drawingml/2006/picture">
                        <pic:nvPicPr>
                          <pic:cNvPr id="4152" name="图片_1_SpCnt_2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4153" name="图片_1_SpCnt_23"/>
                  <wp:cNvGraphicFramePr/>
                  <a:graphic xmlns:a="http://schemas.openxmlformats.org/drawingml/2006/main">
                    <a:graphicData uri="http://schemas.openxmlformats.org/drawingml/2006/picture">
                      <pic:pic xmlns:pic="http://schemas.openxmlformats.org/drawingml/2006/picture">
                        <pic:nvPicPr>
                          <pic:cNvPr id="4153" name="图片_1_SpCnt_2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7620"/>
                  <wp:effectExtent l="0" t="0" r="0" b="0"/>
                  <wp:wrapNone/>
                  <wp:docPr id="4154" name="图片_1_SpCnt_24"/>
                  <wp:cNvGraphicFramePr/>
                  <a:graphic xmlns:a="http://schemas.openxmlformats.org/drawingml/2006/main">
                    <a:graphicData uri="http://schemas.openxmlformats.org/drawingml/2006/picture">
                      <pic:pic xmlns:pic="http://schemas.openxmlformats.org/drawingml/2006/picture">
                        <pic:nvPicPr>
                          <pic:cNvPr id="4154" name="图片_1_SpCnt_24"/>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4155" name="图片_1_SpCnt_25"/>
                  <wp:cNvGraphicFramePr/>
                  <a:graphic xmlns:a="http://schemas.openxmlformats.org/drawingml/2006/main">
                    <a:graphicData uri="http://schemas.openxmlformats.org/drawingml/2006/picture">
                      <pic:pic xmlns:pic="http://schemas.openxmlformats.org/drawingml/2006/picture">
                        <pic:nvPicPr>
                          <pic:cNvPr id="4155" name="图片_1_SpCnt_25"/>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4156" name="图片_1_SpCnt_26"/>
                  <wp:cNvGraphicFramePr/>
                  <a:graphic xmlns:a="http://schemas.openxmlformats.org/drawingml/2006/main">
                    <a:graphicData uri="http://schemas.openxmlformats.org/drawingml/2006/picture">
                      <pic:pic xmlns:pic="http://schemas.openxmlformats.org/drawingml/2006/picture">
                        <pic:nvPicPr>
                          <pic:cNvPr id="4156" name="图片_1_SpCnt_26"/>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5875"/>
                  <wp:effectExtent l="0" t="0" r="0" b="0"/>
                  <wp:wrapNone/>
                  <wp:docPr id="4157" name="图片_1_SpCnt_27"/>
                  <wp:cNvGraphicFramePr/>
                  <a:graphic xmlns:a="http://schemas.openxmlformats.org/drawingml/2006/main">
                    <a:graphicData uri="http://schemas.openxmlformats.org/drawingml/2006/picture">
                      <pic:pic xmlns:pic="http://schemas.openxmlformats.org/drawingml/2006/picture">
                        <pic:nvPicPr>
                          <pic:cNvPr id="4157" name="图片_1_SpCnt_2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1430"/>
                  <wp:effectExtent l="0" t="0" r="0" b="0"/>
                  <wp:wrapNone/>
                  <wp:docPr id="4158" name="图片_1_SpCnt_28"/>
                  <wp:cNvGraphicFramePr/>
                  <a:graphic xmlns:a="http://schemas.openxmlformats.org/drawingml/2006/main">
                    <a:graphicData uri="http://schemas.openxmlformats.org/drawingml/2006/picture">
                      <pic:pic xmlns:pic="http://schemas.openxmlformats.org/drawingml/2006/picture">
                        <pic:nvPicPr>
                          <pic:cNvPr id="4158" name="图片_1_SpCnt_28"/>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0160"/>
                  <wp:effectExtent l="0" t="0" r="0" b="0"/>
                  <wp:wrapNone/>
                  <wp:docPr id="4159" name="图片_1_SpCnt_29"/>
                  <wp:cNvGraphicFramePr/>
                  <a:graphic xmlns:a="http://schemas.openxmlformats.org/drawingml/2006/main">
                    <a:graphicData uri="http://schemas.openxmlformats.org/drawingml/2006/picture">
                      <pic:pic xmlns:pic="http://schemas.openxmlformats.org/drawingml/2006/picture">
                        <pic:nvPicPr>
                          <pic:cNvPr id="4159"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3335"/>
                  <wp:effectExtent l="0" t="0" r="0" b="0"/>
                  <wp:wrapNone/>
                  <wp:docPr id="4160" name="图片_1_SpCnt_30"/>
                  <wp:cNvGraphicFramePr/>
                  <a:graphic xmlns:a="http://schemas.openxmlformats.org/drawingml/2006/main">
                    <a:graphicData uri="http://schemas.openxmlformats.org/drawingml/2006/picture">
                      <pic:pic xmlns:pic="http://schemas.openxmlformats.org/drawingml/2006/picture">
                        <pic:nvPicPr>
                          <pic:cNvPr id="4160"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0160"/>
                  <wp:effectExtent l="0" t="0" r="0" b="0"/>
                  <wp:wrapNone/>
                  <wp:docPr id="4161" name="图片_1_SpCnt_31"/>
                  <wp:cNvGraphicFramePr/>
                  <a:graphic xmlns:a="http://schemas.openxmlformats.org/drawingml/2006/main">
                    <a:graphicData uri="http://schemas.openxmlformats.org/drawingml/2006/picture">
                      <pic:pic xmlns:pic="http://schemas.openxmlformats.org/drawingml/2006/picture">
                        <pic:nvPicPr>
                          <pic:cNvPr id="4161" name="图片_1_SpCnt_3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8415"/>
                  <wp:effectExtent l="0" t="0" r="0" b="0"/>
                  <wp:wrapNone/>
                  <wp:docPr id="4162" name="图片_1_SpCnt_32"/>
                  <wp:cNvGraphicFramePr/>
                  <a:graphic xmlns:a="http://schemas.openxmlformats.org/drawingml/2006/main">
                    <a:graphicData uri="http://schemas.openxmlformats.org/drawingml/2006/picture">
                      <pic:pic xmlns:pic="http://schemas.openxmlformats.org/drawingml/2006/picture">
                        <pic:nvPicPr>
                          <pic:cNvPr id="4162" name="图片_1_SpCnt_32"/>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4163" name="图片_1_SpCnt_33"/>
                  <wp:cNvGraphicFramePr/>
                  <a:graphic xmlns:a="http://schemas.openxmlformats.org/drawingml/2006/main">
                    <a:graphicData uri="http://schemas.openxmlformats.org/drawingml/2006/picture">
                      <pic:pic xmlns:pic="http://schemas.openxmlformats.org/drawingml/2006/picture">
                        <pic:nvPicPr>
                          <pic:cNvPr id="4163" name="图片_1_SpCnt_3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对药品、医疗器械、化妆品经营和使用环节的监督管理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855A">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工作方式：开展对辖区内药械化经营和使用单位的日常监督检查与专项整治、抽样检查等活动，不定期开展药械化相关领域的普法宣传工作，督促指导经营主体严格依法经营。</w:t>
            </w:r>
          </w:p>
        </w:tc>
      </w:tr>
      <w:tr w14:paraId="1DAAF0E5">
        <w:tblPrEx>
          <w:tblCellMar>
            <w:top w:w="0" w:type="dxa"/>
            <w:left w:w="108" w:type="dxa"/>
            <w:bottom w:w="0" w:type="dxa"/>
            <w:right w:w="108" w:type="dxa"/>
          </w:tblCellMar>
        </w:tblPrEx>
        <w:trPr>
          <w:cantSplit/>
          <w:trHeight w:val="6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F72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6AF9">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4164" name="图片_1_SpCnt_50"/>
                  <wp:cNvGraphicFramePr/>
                  <a:graphic xmlns:a="http://schemas.openxmlformats.org/drawingml/2006/main">
                    <a:graphicData uri="http://schemas.openxmlformats.org/drawingml/2006/picture">
                      <pic:pic xmlns:pic="http://schemas.openxmlformats.org/drawingml/2006/picture">
                        <pic:nvPicPr>
                          <pic:cNvPr id="4164" name="图片_1_SpCnt_5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8415"/>
                  <wp:effectExtent l="0" t="0" r="0" b="0"/>
                  <wp:wrapNone/>
                  <wp:docPr id="4165" name="图片_1_SpCnt_51"/>
                  <wp:cNvGraphicFramePr/>
                  <a:graphic xmlns:a="http://schemas.openxmlformats.org/drawingml/2006/main">
                    <a:graphicData uri="http://schemas.openxmlformats.org/drawingml/2006/picture">
                      <pic:pic xmlns:pic="http://schemas.openxmlformats.org/drawingml/2006/picture">
                        <pic:nvPicPr>
                          <pic:cNvPr id="4165" name="图片_1_SpCnt_51"/>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4166" name="图片_1_SpCnt_52"/>
                  <wp:cNvGraphicFramePr/>
                  <a:graphic xmlns:a="http://schemas.openxmlformats.org/drawingml/2006/main">
                    <a:graphicData uri="http://schemas.openxmlformats.org/drawingml/2006/picture">
                      <pic:pic xmlns:pic="http://schemas.openxmlformats.org/drawingml/2006/picture">
                        <pic:nvPicPr>
                          <pic:cNvPr id="4166" name="图片_1_SpCnt_5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对消费品质量合格率的考核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34DB">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落实党中央精简优化基层考核有关要求，不再开展此项工作。</w:t>
            </w:r>
          </w:p>
        </w:tc>
      </w:tr>
    </w:tbl>
    <w:p w14:paraId="7D83311D">
      <w:pPr>
        <w:rPr>
          <w:rFonts w:hint="default" w:ascii="Times New Roman" w:hAnsi="Times New Roman" w:cs="Times New Roman" w:eastAsiaTheme="minorEastAsia"/>
          <w:lang w:eastAsia="zh-CN"/>
        </w:rPr>
      </w:pPr>
    </w:p>
    <w:p w14:paraId="3D45984C">
      <w:pPr>
        <w:rPr>
          <w:rFonts w:hint="default"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ED9C830-71A6-433F-9AC5-A0D6D7AEE36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embedRegular r:id="rId2" w:fontKey="{6C544D3E-33ED-4C32-82F6-994776C52F10}"/>
  </w:font>
  <w:font w:name="方正小标宋_GBK">
    <w:panose1 w:val="03000509000000000000"/>
    <w:charset w:val="86"/>
    <w:family w:val="script"/>
    <w:pitch w:val="default"/>
    <w:sig w:usb0="00000001" w:usb1="080E0000" w:usb2="00000000" w:usb3="00000000" w:csb0="00040000" w:csb1="00000000"/>
    <w:embedRegular r:id="rId3" w:fontKey="{7F659E13-F27D-475F-A037-45CD12880348}"/>
  </w:font>
  <w:font w:name="方正公文仿宋">
    <w:panose1 w:val="02000500000000000000"/>
    <w:charset w:val="86"/>
    <w:family w:val="auto"/>
    <w:pitch w:val="default"/>
    <w:sig w:usb0="A00002BF" w:usb1="38CF7CFA" w:usb2="00000016" w:usb3="00000000" w:csb0="00040001" w:csb1="00000000"/>
    <w:embedRegular r:id="rId4" w:fontKey="{20FA9D4B-9E50-4439-95BF-858BC4C147A9}"/>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5" w:fontKey="{CF53BDB4-2468-4E6E-A7B3-10AB77D7C4A7}"/>
  </w:font>
  <w:font w:name="方正公文小标宋">
    <w:panose1 w:val="02000500000000000000"/>
    <w:charset w:val="86"/>
    <w:family w:val="auto"/>
    <w:pitch w:val="default"/>
    <w:sig w:usb0="A00002BF" w:usb1="38CF7CFA" w:usb2="00000016" w:usb3="00000000" w:csb0="00040001" w:csb1="00000000"/>
    <w:embedRegular r:id="rId6" w:fontKey="{991B1C57-A872-486B-802A-52464C2F6ED9}"/>
  </w:font>
  <w:font w:name="方正黑体_GBK">
    <w:panose1 w:val="03000509000000000000"/>
    <w:charset w:val="86"/>
    <w:family w:val="auto"/>
    <w:pitch w:val="default"/>
    <w:sig w:usb0="00000001" w:usb1="080E0000" w:usb2="00000000" w:usb3="00000000" w:csb0="00040000" w:csb1="00000000"/>
    <w:embedRegular r:id="rId7" w:fontKey="{BEA116FF-74F5-4E91-82C8-FBE045CE21D0}"/>
  </w:font>
  <w:font w:name="微软雅黑">
    <w:panose1 w:val="020B0503020204020204"/>
    <w:charset w:val="86"/>
    <w:family w:val="auto"/>
    <w:pitch w:val="default"/>
    <w:sig w:usb0="80000287" w:usb1="2ACF3C50" w:usb2="00000016" w:usb3="00000000" w:csb0="0004001F" w:csb1="00000000"/>
    <w:embedRegular r:id="rId8" w:fontKey="{BF772FFD-1AAB-4E12-972F-14C3E899A3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0B16">
    <w:pPr>
      <w:pStyle w:val="9"/>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8E99E98">
                          <w:pPr>
                            <w:pStyle w:val="9"/>
                            <w:rPr>
                              <w:rStyle w:val="15"/>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8E99E98">
                    <w:pPr>
                      <w:pStyle w:val="9"/>
                      <w:rPr>
                        <w:rStyle w:val="15"/>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1E8A">
    <w:pPr>
      <w:pStyle w:val="9"/>
      <w:jc w:val="center"/>
      <w:rPr>
        <w:rFonts w:ascii="微软雅黑" w:hAnsi="微软雅黑" w:eastAsia="微软雅黑" w:cs="微软雅黑"/>
        <w:sz w:val="24"/>
      </w:rPr>
    </w:pPr>
    <w:r>
      <w:rPr>
        <w:rFonts w:hint="eastAsia" w:ascii="微软雅黑" w:hAnsi="微软雅黑" w:eastAsia="微软雅黑" w:cs="微软雅黑"/>
        <w:sz w:val="24"/>
        <w:szCs w:val="24"/>
      </w:rPr>
      <w:t xml:space="preserve">第 </w:t>
    </w:r>
    <w:r>
      <w:rPr>
        <w:rFonts w:ascii="Times New Roman" w:hAnsi="Times New Roman" w:eastAsia="微软雅黑"/>
        <w:sz w:val="24"/>
      </w:rPr>
      <w:fldChar w:fldCharType="begin"/>
    </w:r>
    <w:r>
      <w:rPr>
        <w:rFonts w:ascii="Times New Roman" w:hAnsi="Times New Roman" w:eastAsia="微软雅黑" w:cs="Times New Roman"/>
        <w:sz w:val="24"/>
        <w:szCs w:val="24"/>
      </w:rPr>
      <w:instrText xml:space="preserve"> PAGE  \* MERGEFORMAT </w:instrText>
    </w:r>
    <w:r>
      <w:rPr>
        <w:rFonts w:ascii="Times New Roman" w:hAnsi="Times New Roman" w:eastAsia="微软雅黑"/>
        <w:sz w:val="24"/>
      </w:rPr>
      <w:fldChar w:fldCharType="separate"/>
    </w:r>
    <w:r>
      <w:rPr>
        <w:rFonts w:ascii="Times New Roman" w:hAnsi="Times New Roman" w:eastAsia="微软雅黑"/>
        <w:sz w:val="24"/>
      </w:rPr>
      <w:t>3</w:t>
    </w:r>
    <w:r>
      <w:rPr>
        <w:rFonts w:ascii="Times New Roman" w:hAnsi="Times New Roman" w:eastAsia="微软雅黑"/>
        <w:sz w:val="24"/>
      </w:rPr>
      <w:fldChar w:fldCharType="end"/>
    </w:r>
    <w:r>
      <w:rPr>
        <w:rFonts w:hint="eastAsia" w:ascii="微软雅黑" w:hAnsi="微软雅黑" w:eastAsia="微软雅黑" w:cs="微软雅黑"/>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11"/>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56B5"/>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375EC6"/>
    <w:rsid w:val="029071B9"/>
    <w:rsid w:val="05137E20"/>
    <w:rsid w:val="05337924"/>
    <w:rsid w:val="0645091A"/>
    <w:rsid w:val="066B036F"/>
    <w:rsid w:val="0E826EE4"/>
    <w:rsid w:val="10524B28"/>
    <w:rsid w:val="11CC783A"/>
    <w:rsid w:val="12FF4925"/>
    <w:rsid w:val="142B7819"/>
    <w:rsid w:val="17D93829"/>
    <w:rsid w:val="18725A29"/>
    <w:rsid w:val="1F9B4673"/>
    <w:rsid w:val="21BA3E16"/>
    <w:rsid w:val="23B40CF0"/>
    <w:rsid w:val="24044C11"/>
    <w:rsid w:val="2750753D"/>
    <w:rsid w:val="295451B7"/>
    <w:rsid w:val="2B9E4BF5"/>
    <w:rsid w:val="2DCD42C6"/>
    <w:rsid w:val="300761B5"/>
    <w:rsid w:val="32B555C0"/>
    <w:rsid w:val="32D576E2"/>
    <w:rsid w:val="35FD3175"/>
    <w:rsid w:val="36BC57D7"/>
    <w:rsid w:val="37D15DCE"/>
    <w:rsid w:val="394915ED"/>
    <w:rsid w:val="3A3919D9"/>
    <w:rsid w:val="3A5041F3"/>
    <w:rsid w:val="3D327144"/>
    <w:rsid w:val="3DD37F9D"/>
    <w:rsid w:val="41E1322A"/>
    <w:rsid w:val="42532190"/>
    <w:rsid w:val="42B34E5A"/>
    <w:rsid w:val="48322FD5"/>
    <w:rsid w:val="4878172D"/>
    <w:rsid w:val="48A22D40"/>
    <w:rsid w:val="49C66341"/>
    <w:rsid w:val="4DEB15AB"/>
    <w:rsid w:val="4ED41501"/>
    <w:rsid w:val="528B670B"/>
    <w:rsid w:val="540C2A59"/>
    <w:rsid w:val="56F02AC8"/>
    <w:rsid w:val="56FE1B0F"/>
    <w:rsid w:val="579D2DD8"/>
    <w:rsid w:val="58560B0E"/>
    <w:rsid w:val="587E554E"/>
    <w:rsid w:val="59C7034F"/>
    <w:rsid w:val="5A2B6950"/>
    <w:rsid w:val="5CF6668F"/>
    <w:rsid w:val="5D6A53CD"/>
    <w:rsid w:val="5F710D94"/>
    <w:rsid w:val="60761CD4"/>
    <w:rsid w:val="60805977"/>
    <w:rsid w:val="628825E2"/>
    <w:rsid w:val="652D6DDF"/>
    <w:rsid w:val="680D11CF"/>
    <w:rsid w:val="6CE831D2"/>
    <w:rsid w:val="722B16E1"/>
    <w:rsid w:val="729A32BE"/>
    <w:rsid w:val="729D1083"/>
    <w:rsid w:val="78684186"/>
    <w:rsid w:val="78710F90"/>
    <w:rsid w:val="7A316DFD"/>
    <w:rsid w:val="7DDB139C"/>
    <w:rsid w:val="7EA81C81"/>
    <w:rsid w:val="7F0F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7"/>
    <w:qFormat/>
    <w:uiPriority w:val="0"/>
    <w:pPr>
      <w:spacing w:before="240" w:after="60"/>
      <w:jc w:val="center"/>
      <w:outlineLvl w:val="0"/>
    </w:pPr>
    <w:rPr>
      <w:b/>
      <w:sz w:val="32"/>
    </w:rPr>
  </w:style>
  <w:style w:type="paragraph" w:styleId="4">
    <w:name w:val="Normal Indent"/>
    <w:basedOn w:val="1"/>
    <w:next w:val="1"/>
    <w:qFormat/>
    <w:uiPriority w:val="0"/>
    <w:pPr>
      <w:ind w:firstLine="420" w:firstLineChars="200"/>
    </w:pPr>
    <w:rPr>
      <w:rFonts w:ascii="Times New Roman" w:hAnsi="Times New Roman" w:eastAsia="仿宋"/>
    </w:rPr>
  </w:style>
  <w:style w:type="paragraph" w:styleId="5">
    <w:name w:val="Body Text"/>
    <w:basedOn w:val="1"/>
    <w:link w:val="18"/>
    <w:semiHidden/>
    <w:qFormat/>
    <w:uiPriority w:val="0"/>
  </w:style>
  <w:style w:type="paragraph" w:styleId="6">
    <w:name w:val="Body Text Indent"/>
    <w:basedOn w:val="1"/>
    <w:next w:val="1"/>
    <w:qFormat/>
    <w:uiPriority w:val="0"/>
    <w:pPr>
      <w:spacing w:after="120"/>
      <w:ind w:left="420" w:leftChars="200"/>
    </w:pPr>
    <w:rPr>
      <w:rFonts w:ascii="华文仿宋" w:hAnsi="华文仿宋" w:eastAsia="华文仿宋"/>
    </w:rPr>
  </w:style>
  <w:style w:type="paragraph" w:styleId="7">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8">
    <w:name w:val="Plain Text"/>
    <w:basedOn w:val="1"/>
    <w:qFormat/>
    <w:uiPriority w:val="0"/>
    <w:pPr>
      <w:jc w:val="center"/>
    </w:pPr>
    <w:rPr>
      <w:rFonts w:ascii="方正小标宋_GBK" w:hAnsi="Courier New" w:eastAsia="方正小标宋_GBK"/>
      <w:b/>
      <w:sz w:val="44"/>
      <w:szCs w:val="44"/>
    </w:rPr>
  </w:style>
  <w:style w:type="paragraph" w:styleId="9">
    <w:name w:val="footer"/>
    <w:basedOn w:val="1"/>
    <w:link w:val="19"/>
    <w:qFormat/>
    <w:uiPriority w:val="0"/>
    <w:pPr>
      <w:tabs>
        <w:tab w:val="center" w:pos="4153"/>
        <w:tab w:val="right" w:pos="8306"/>
      </w:tabs>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12">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5">
    <w:name w:val="page number"/>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标题 字符"/>
    <w:basedOn w:val="14"/>
    <w:link w:val="2"/>
    <w:qFormat/>
    <w:uiPriority w:val="0"/>
    <w:rPr>
      <w:rFonts w:ascii="Arial" w:hAnsi="Arial" w:eastAsia="Arial" w:cs="Arial"/>
      <w:b/>
      <w:snapToGrid w:val="0"/>
      <w:color w:val="000000"/>
      <w:kern w:val="0"/>
      <w:sz w:val="32"/>
      <w:szCs w:val="21"/>
      <w:lang w:eastAsia="en-US"/>
    </w:rPr>
  </w:style>
  <w:style w:type="character" w:customStyle="1" w:styleId="18">
    <w:name w:val="正文文本 字符"/>
    <w:basedOn w:val="14"/>
    <w:link w:val="5"/>
    <w:semiHidden/>
    <w:qFormat/>
    <w:uiPriority w:val="0"/>
    <w:rPr>
      <w:rFonts w:ascii="Arial" w:hAnsi="Arial" w:eastAsia="Arial" w:cs="Arial"/>
      <w:snapToGrid w:val="0"/>
      <w:color w:val="000000"/>
      <w:kern w:val="0"/>
      <w:szCs w:val="21"/>
      <w:lang w:eastAsia="en-US"/>
    </w:rPr>
  </w:style>
  <w:style w:type="character" w:customStyle="1" w:styleId="19">
    <w:name w:val="页脚 字符"/>
    <w:basedOn w:val="14"/>
    <w:link w:val="9"/>
    <w:qFormat/>
    <w:uiPriority w:val="0"/>
    <w:rPr>
      <w:rFonts w:ascii="Arial" w:hAnsi="Arial" w:eastAsia="Arial" w:cs="Arial"/>
      <w:snapToGrid w:val="0"/>
      <w:color w:val="000000"/>
      <w:kern w:val="0"/>
      <w:sz w:val="18"/>
      <w:szCs w:val="18"/>
      <w:lang w:eastAsia="en-US"/>
    </w:rPr>
  </w:style>
  <w:style w:type="paragraph" w:customStyle="1" w:styleId="20">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1">
    <w:name w:val="font21"/>
    <w:basedOn w:val="14"/>
    <w:qFormat/>
    <w:uiPriority w:val="0"/>
    <w:rPr>
      <w:rFonts w:hint="default" w:ascii="Times New Roman" w:hAnsi="Times New Roman" w:cs="Times New Roman"/>
      <w:color w:val="000000"/>
      <w:sz w:val="24"/>
      <w:szCs w:val="24"/>
      <w:u w:val="none"/>
    </w:rPr>
  </w:style>
  <w:style w:type="character" w:customStyle="1" w:styleId="22">
    <w:name w:val="font101"/>
    <w:qFormat/>
    <w:uiPriority w:val="0"/>
    <w:rPr>
      <w:rFonts w:hint="default" w:ascii="Times New Roman" w:hAnsi="Times New Roman" w:cs="Times New Roman"/>
      <w:color w:val="000000"/>
      <w:sz w:val="22"/>
      <w:szCs w:val="22"/>
      <w:u w:val="none"/>
    </w:rPr>
  </w:style>
  <w:style w:type="character" w:customStyle="1" w:styleId="23">
    <w:name w:val="标题 1 字符"/>
    <w:basedOn w:val="14"/>
    <w:link w:val="3"/>
    <w:qFormat/>
    <w:uiPriority w:val="9"/>
    <w:rPr>
      <w:rFonts w:ascii="Arial" w:hAnsi="Arial" w:eastAsia="Arial" w:cs="Arial"/>
      <w:b/>
      <w:bCs/>
      <w:snapToGrid w:val="0"/>
      <w:color w:val="000000"/>
      <w:kern w:val="44"/>
      <w:sz w:val="44"/>
      <w:szCs w:val="44"/>
      <w:lang w:eastAsia="en-US"/>
    </w:rPr>
  </w:style>
  <w:style w:type="paragraph" w:customStyle="1" w:styleId="24">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5">
    <w:name w:val="页眉 字符"/>
    <w:basedOn w:val="14"/>
    <w:link w:val="10"/>
    <w:qFormat/>
    <w:uiPriority w:val="99"/>
    <w:rPr>
      <w:rFonts w:ascii="Arial" w:hAnsi="Arial" w:eastAsia="Arial" w:cs="Arial"/>
      <w:snapToGrid w:val="0"/>
      <w:color w:val="000000"/>
      <w:kern w:val="0"/>
      <w:sz w:val="18"/>
      <w:szCs w:val="18"/>
      <w:lang w:eastAsia="en-US"/>
    </w:rPr>
  </w:style>
  <w:style w:type="paragraph" w:customStyle="1" w:styleId="26">
    <w:name w:val="Table Text"/>
    <w:basedOn w:val="1"/>
    <w:semiHidden/>
    <w:qFormat/>
    <w:uiPriority w:val="0"/>
    <w:rPr>
      <w:rFonts w:ascii="宋体" w:hAnsi="宋体" w:eastAsia="宋体" w:cs="宋体"/>
      <w:sz w:val="37"/>
      <w:szCs w:val="37"/>
      <w:lang w:val="en-US" w:eastAsia="en-US" w:bidi="ar-SA"/>
    </w:rPr>
  </w:style>
  <w:style w:type="paragraph" w:customStyle="1" w:styleId="27">
    <w:name w:val="paragraph"/>
    <w:basedOn w:val="1"/>
    <w:semiHidden/>
    <w:qFormat/>
    <w:uiPriority w:val="0"/>
    <w:pPr>
      <w:widowControl/>
      <w:spacing w:before="100" w:beforeAutospacing="1" w:after="100" w:afterAutospacing="1"/>
      <w:jc w:val="left"/>
    </w:pPr>
    <w:rPr>
      <w:rFonts w:ascii="等线" w:hAnsi="宋体" w:eastAsia="等线"/>
      <w:kern w:val="0"/>
      <w:sz w:val="24"/>
    </w:rPr>
  </w:style>
  <w:style w:type="character" w:customStyle="1" w:styleId="28">
    <w:name w:val="font12"/>
    <w:basedOn w:val="14"/>
    <w:qFormat/>
    <w:uiPriority w:val="0"/>
    <w:rPr>
      <w:rFonts w:hint="default" w:ascii="Times New Roman" w:hAnsi="Times New Roman" w:cs="Times New Roman"/>
      <w:color w:val="000000"/>
      <w:sz w:val="24"/>
      <w:szCs w:val="24"/>
      <w:u w:val="none"/>
    </w:rPr>
  </w:style>
  <w:style w:type="character" w:customStyle="1" w:styleId="29">
    <w:name w:val="font11"/>
    <w:basedOn w:val="14"/>
    <w:qFormat/>
    <w:uiPriority w:val="0"/>
    <w:rPr>
      <w:rFonts w:hint="eastAsia" w:ascii="方正仿宋_GBK" w:hAnsi="方正仿宋_GBK" w:eastAsia="方正仿宋_GBK" w:cs="方正仿宋_GBK"/>
      <w:color w:val="000000"/>
      <w:sz w:val="21"/>
      <w:szCs w:val="21"/>
      <w:u w:val="none"/>
    </w:rPr>
  </w:style>
  <w:style w:type="character" w:customStyle="1" w:styleId="30">
    <w:name w:val="font31"/>
    <w:basedOn w:val="14"/>
    <w:qFormat/>
    <w:uiPriority w:val="0"/>
    <w:rPr>
      <w:rFonts w:hint="eastAsia" w:ascii="方正仿宋_GBK" w:hAnsi="方正仿宋_GBK" w:eastAsia="方正仿宋_GBK" w:cs="方正仿宋_GBK"/>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91</Words>
  <Characters>97</Characters>
  <Lines>3</Lines>
  <Paragraphs>1</Paragraphs>
  <TotalTime>0</TotalTime>
  <ScaleCrop>false</ScaleCrop>
  <LinksUpToDate>false</LinksUpToDate>
  <CharactersWithSpaces>108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因缘果</cp:lastModifiedBy>
  <dcterms:modified xsi:type="dcterms:W3CDTF">2025-03-06T06:06:19Z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eyJoZGlkIjoiZjFmMDNmYmU5ODYyMzRlMjkwZjQ2NWRlNGIzOTZiZDUiLCJ1c2VySWQiOiI2NTAxNTA4MzgifQ==</vt:lpwstr>
  </property>
  <property fmtid="{D5CDD505-2E9C-101B-9397-08002B2CF9AE}" pid="3" name="KSOProductBuildVer">
    <vt:lpwstr>2052-12.1.0.20305</vt:lpwstr>
  </property>
  <property fmtid="{D5CDD505-2E9C-101B-9397-08002B2CF9AE}" pid="4" name="ICV">
    <vt:lpwstr>8FCA5224AB234EDD9245F130307365A6_13</vt:lpwstr>
  </property>
</Properties>
</file>