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A870A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4" w:lineRule="atLeast"/>
        <w:ind w:left="0" w:right="0" w:firstLine="0"/>
        <w:jc w:val="center"/>
        <w:rPr>
          <w:rFonts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sz w:val="32"/>
          <w:szCs w:val="32"/>
          <w:shd w:val="clear" w:fill="FFFFFF"/>
        </w:rPr>
        <w:t>行政检查事项及检查依据</w:t>
      </w:r>
    </w:p>
    <w:tbl>
      <w:tblPr>
        <w:tblStyle w:val="5"/>
        <w:tblW w:w="9611" w:type="dxa"/>
        <w:tblInd w:w="-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5"/>
        <w:gridCol w:w="1858"/>
        <w:gridCol w:w="2042"/>
        <w:gridCol w:w="4996"/>
      </w:tblGrid>
      <w:tr w14:paraId="083C4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3" w:hRule="atLeast"/>
        </w:trPr>
        <w:tc>
          <w:tcPr>
            <w:tcW w:w="715" w:type="dxa"/>
            <w:vAlign w:val="center"/>
          </w:tcPr>
          <w:p w14:paraId="2B5A5370">
            <w:pPr>
              <w:jc w:val="center"/>
              <w:rPr>
                <w:rFonts w:hint="eastAsia" w:ascii="方正黑体_GBK" w:hAnsi="方正黑体_GBK" w:eastAsia="方正黑体_GBK" w:cs="方正黑体_GBK"/>
                <w:sz w:val="24"/>
                <w:szCs w:val="24"/>
                <w:vertAlign w:val="baseline"/>
                <w:lang w:val="en-US" w:eastAsia="zh-CN"/>
              </w:rPr>
            </w:pPr>
            <w:r>
              <w:rPr>
                <w:rFonts w:hint="eastAsia" w:ascii="方正黑体_GBK" w:hAnsi="方正黑体_GBK" w:eastAsia="方正黑体_GBK" w:cs="方正黑体_GBK"/>
                <w:sz w:val="24"/>
                <w:szCs w:val="24"/>
                <w:vertAlign w:val="baseline"/>
                <w:lang w:val="en-US" w:eastAsia="zh-CN"/>
              </w:rPr>
              <w:t>序号</w:t>
            </w:r>
          </w:p>
        </w:tc>
        <w:tc>
          <w:tcPr>
            <w:tcW w:w="1858" w:type="dxa"/>
          </w:tcPr>
          <w:p w14:paraId="356383B0">
            <w:pPr>
              <w:jc w:val="center"/>
              <w:rPr>
                <w:rFonts w:hint="default" w:ascii="方正黑体_GBK" w:hAnsi="方正黑体_GBK" w:eastAsia="方正黑体_GBK" w:cs="方正黑体_GBK"/>
                <w:sz w:val="24"/>
                <w:szCs w:val="24"/>
                <w:vertAlign w:val="baseline"/>
                <w:lang w:val="en-US" w:eastAsia="zh-CN"/>
              </w:rPr>
            </w:pPr>
            <w:r>
              <w:rPr>
                <w:rFonts w:hint="eastAsia" w:ascii="方正黑体_GBK" w:hAnsi="方正黑体_GBK" w:eastAsia="方正黑体_GBK" w:cs="方正黑体_GBK"/>
                <w:sz w:val="24"/>
                <w:szCs w:val="24"/>
                <w:vertAlign w:val="baseline"/>
                <w:lang w:val="en-US" w:eastAsia="zh-CN"/>
              </w:rPr>
              <w:t>行政检查事项</w:t>
            </w:r>
          </w:p>
        </w:tc>
        <w:tc>
          <w:tcPr>
            <w:tcW w:w="7038" w:type="dxa"/>
            <w:gridSpan w:val="2"/>
          </w:tcPr>
          <w:p w14:paraId="2E409F83">
            <w:pPr>
              <w:jc w:val="center"/>
              <w:rPr>
                <w:rFonts w:hint="default" w:ascii="方正黑体_GBK" w:hAnsi="方正黑体_GBK" w:eastAsia="方正黑体_GBK" w:cs="方正黑体_GBK"/>
                <w:sz w:val="24"/>
                <w:szCs w:val="24"/>
                <w:vertAlign w:val="baseline"/>
                <w:lang w:val="en-US" w:eastAsia="zh-CN"/>
              </w:rPr>
            </w:pPr>
            <w:r>
              <w:rPr>
                <w:rFonts w:hint="eastAsia" w:ascii="方正黑体_GBK" w:hAnsi="方正黑体_GBK" w:eastAsia="方正黑体_GBK" w:cs="方正黑体_GBK"/>
                <w:sz w:val="24"/>
                <w:szCs w:val="24"/>
                <w:vertAlign w:val="baseline"/>
                <w:lang w:val="en-US" w:eastAsia="zh-CN"/>
              </w:rPr>
              <w:t>行政检查依据</w:t>
            </w:r>
          </w:p>
        </w:tc>
      </w:tr>
      <w:tr w14:paraId="06695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15" w:type="dxa"/>
            <w:vAlign w:val="center"/>
          </w:tcPr>
          <w:p w14:paraId="07F84F52">
            <w:pPr>
              <w:jc w:val="center"/>
              <w:rPr>
                <w:rFonts w:hint="eastAsia" w:eastAsia="仿宋_GB2312"/>
                <w:sz w:val="24"/>
                <w:szCs w:val="24"/>
                <w:vertAlign w:val="baseline"/>
                <w:lang w:val="en-US" w:eastAsia="zh-CN"/>
              </w:rPr>
            </w:pPr>
            <w:r>
              <w:rPr>
                <w:rFonts w:hint="eastAsia"/>
                <w:sz w:val="24"/>
                <w:szCs w:val="24"/>
                <w:vertAlign w:val="baseline"/>
                <w:lang w:val="en-US" w:eastAsia="zh-CN"/>
              </w:rPr>
              <w:t>1</w:t>
            </w:r>
          </w:p>
        </w:tc>
        <w:tc>
          <w:tcPr>
            <w:tcW w:w="1858" w:type="dxa"/>
            <w:vMerge w:val="restart"/>
          </w:tcPr>
          <w:p w14:paraId="0E8E88FF">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vertAlign w:val="baseline"/>
                <w:lang w:val="en-US" w:eastAsia="zh-CN"/>
              </w:rPr>
            </w:pPr>
          </w:p>
          <w:p w14:paraId="4CEBDBAE">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vertAlign w:val="baseline"/>
                <w:lang w:val="en-US" w:eastAsia="zh-CN"/>
              </w:rPr>
            </w:pPr>
          </w:p>
          <w:p w14:paraId="7C4AED2A">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vertAlign w:val="baseline"/>
                <w:lang w:val="en-US" w:eastAsia="zh-CN"/>
              </w:rPr>
            </w:pPr>
          </w:p>
          <w:p w14:paraId="2C8EE219">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eastAsia="仿宋_GB2312"/>
                <w:sz w:val="24"/>
                <w:szCs w:val="24"/>
                <w:vertAlign w:val="baseline"/>
                <w:lang w:val="en-US" w:eastAsia="zh-CN"/>
              </w:rPr>
            </w:pPr>
            <w:r>
              <w:rPr>
                <w:rFonts w:hint="eastAsia"/>
                <w:sz w:val="24"/>
                <w:szCs w:val="24"/>
                <w:vertAlign w:val="baseline"/>
                <w:lang w:val="en-US" w:eastAsia="zh-CN"/>
              </w:rPr>
              <w:t>对建筑业企业、房地产开发企业、供排水企业、燃气经营企业等行业市场主体遵守住房建设领域法律法规规章的情况检查</w:t>
            </w:r>
          </w:p>
        </w:tc>
        <w:tc>
          <w:tcPr>
            <w:tcW w:w="2042" w:type="dxa"/>
          </w:tcPr>
          <w:p w14:paraId="26D4AD49">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eastAsia="仿宋_GB2312"/>
                <w:sz w:val="24"/>
                <w:szCs w:val="24"/>
                <w:vertAlign w:val="baseline"/>
                <w:lang w:eastAsia="zh-CN"/>
              </w:rPr>
            </w:pPr>
            <w:r>
              <w:rPr>
                <w:rFonts w:hint="eastAsia"/>
                <w:sz w:val="24"/>
                <w:szCs w:val="24"/>
                <w:vertAlign w:val="baseline"/>
                <w:lang w:eastAsia="zh-CN"/>
              </w:rPr>
              <w:t>《建设工程质量管理条例》</w:t>
            </w:r>
          </w:p>
        </w:tc>
        <w:tc>
          <w:tcPr>
            <w:tcW w:w="4996" w:type="dxa"/>
          </w:tcPr>
          <w:p w14:paraId="7A8661F4">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vertAlign w:val="baseline"/>
              </w:rPr>
            </w:pPr>
            <w:r>
              <w:rPr>
                <w:rFonts w:hint="eastAsia"/>
                <w:sz w:val="24"/>
                <w:szCs w:val="24"/>
                <w:vertAlign w:val="baseline"/>
              </w:rPr>
              <w:t>第四条　县级以上人民政府建设行政主管部门和其他有关部门应当加强对建设工程质量的监督管理。</w:t>
            </w:r>
          </w:p>
          <w:p w14:paraId="501D294F">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vertAlign w:val="baseline"/>
              </w:rPr>
            </w:pPr>
            <w:r>
              <w:rPr>
                <w:rFonts w:hint="eastAsia"/>
                <w:sz w:val="24"/>
                <w:szCs w:val="24"/>
                <w:vertAlign w:val="baseline"/>
              </w:rPr>
              <w:t>第四十七条　县级以上地方人民政府建设行政主管部门和其他有关部门应当加强对有关建设工程质量的法律、法规和强制性标准执行情况的监督检查。</w:t>
            </w:r>
          </w:p>
          <w:p w14:paraId="1B8189CB">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vertAlign w:val="baseline"/>
              </w:rPr>
            </w:pPr>
            <w:r>
              <w:rPr>
                <w:rFonts w:hint="eastAsia"/>
                <w:sz w:val="24"/>
                <w:szCs w:val="24"/>
                <w:vertAlign w:val="baseline"/>
              </w:rPr>
              <w:t>第四十八条　县级以上人民政府建设行政主管部门和其他有关部门履行监督检查职责时，有权采取下列措施：</w:t>
            </w:r>
          </w:p>
          <w:p w14:paraId="22BFD3BD">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vertAlign w:val="baseline"/>
              </w:rPr>
            </w:pPr>
            <w:r>
              <w:rPr>
                <w:rFonts w:hint="eastAsia"/>
                <w:sz w:val="24"/>
                <w:szCs w:val="24"/>
                <w:vertAlign w:val="baseline"/>
              </w:rPr>
              <w:t>(一)要求被检查的单位提供有关工程质量的文件和资料；</w:t>
            </w:r>
          </w:p>
          <w:p w14:paraId="77F369D7">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vertAlign w:val="baseline"/>
              </w:rPr>
            </w:pPr>
            <w:r>
              <w:rPr>
                <w:rFonts w:hint="eastAsia"/>
                <w:sz w:val="24"/>
                <w:szCs w:val="24"/>
                <w:vertAlign w:val="baseline"/>
              </w:rPr>
              <w:t>(二)进入被检查单位的施工现场进行检查；</w:t>
            </w:r>
          </w:p>
          <w:p w14:paraId="0E59D8C4">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vertAlign w:val="baseline"/>
              </w:rPr>
            </w:pPr>
            <w:r>
              <w:rPr>
                <w:rFonts w:hint="eastAsia"/>
                <w:sz w:val="24"/>
                <w:szCs w:val="24"/>
                <w:vertAlign w:val="baseline"/>
              </w:rPr>
              <w:t>(三)发现有影响工程质量的问题时，责令改正。</w:t>
            </w:r>
          </w:p>
        </w:tc>
      </w:tr>
      <w:tr w14:paraId="28050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15" w:type="dxa"/>
            <w:vAlign w:val="center"/>
          </w:tcPr>
          <w:p w14:paraId="5BC5C83F">
            <w:pPr>
              <w:jc w:val="center"/>
              <w:rPr>
                <w:rFonts w:hint="eastAsia" w:eastAsia="仿宋_GB2312"/>
                <w:sz w:val="24"/>
                <w:szCs w:val="24"/>
                <w:vertAlign w:val="baseline"/>
                <w:lang w:val="en-US" w:eastAsia="zh-CN"/>
              </w:rPr>
            </w:pPr>
            <w:r>
              <w:rPr>
                <w:rFonts w:hint="eastAsia"/>
                <w:sz w:val="24"/>
                <w:szCs w:val="24"/>
                <w:vertAlign w:val="baseline"/>
                <w:lang w:val="en-US" w:eastAsia="zh-CN"/>
              </w:rPr>
              <w:t>2</w:t>
            </w:r>
          </w:p>
        </w:tc>
        <w:tc>
          <w:tcPr>
            <w:tcW w:w="1858" w:type="dxa"/>
            <w:vMerge w:val="continue"/>
          </w:tcPr>
          <w:p w14:paraId="11DAEAEA">
            <w:pPr>
              <w:rPr>
                <w:sz w:val="24"/>
                <w:szCs w:val="24"/>
                <w:vertAlign w:val="baseline"/>
              </w:rPr>
            </w:pPr>
          </w:p>
        </w:tc>
        <w:tc>
          <w:tcPr>
            <w:tcW w:w="2042" w:type="dxa"/>
          </w:tcPr>
          <w:p w14:paraId="0544486A">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eastAsia="仿宋_GB2312"/>
                <w:sz w:val="24"/>
                <w:szCs w:val="24"/>
                <w:vertAlign w:val="baseline"/>
                <w:lang w:eastAsia="zh-CN"/>
              </w:rPr>
            </w:pPr>
            <w:r>
              <w:rPr>
                <w:rFonts w:hint="eastAsia"/>
                <w:sz w:val="24"/>
                <w:szCs w:val="24"/>
                <w:vertAlign w:val="baseline"/>
                <w:lang w:eastAsia="zh-CN"/>
              </w:rPr>
              <w:t>《建设工程安全生产管理条例》</w:t>
            </w:r>
          </w:p>
        </w:tc>
        <w:tc>
          <w:tcPr>
            <w:tcW w:w="4996" w:type="dxa"/>
          </w:tcPr>
          <w:p w14:paraId="22E7887D">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vertAlign w:val="baseline"/>
              </w:rPr>
            </w:pPr>
            <w:r>
              <w:rPr>
                <w:rFonts w:hint="eastAsia"/>
                <w:sz w:val="24"/>
                <w:szCs w:val="24"/>
                <w:vertAlign w:val="baseline"/>
              </w:rPr>
              <w:t>第四十条　县级以上地方人民政府建设行政主管部门对本行政区域内的建设工程安全生产实施监督管理。县级以上地方人民政府交通、水利等有关部门在各自的职责范围内，负责本行政区域内的专业建设工程安全生产的监督管理。</w:t>
            </w:r>
          </w:p>
          <w:p w14:paraId="4E522F87">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vertAlign w:val="baseline"/>
              </w:rPr>
            </w:pPr>
            <w:r>
              <w:rPr>
                <w:rFonts w:hint="eastAsia"/>
                <w:sz w:val="24"/>
                <w:szCs w:val="24"/>
                <w:vertAlign w:val="baseline"/>
              </w:rPr>
              <w:t>第四十三条　县级以上人民政府负有建设工程安全生产监督管理职责的部门在各自的职责范围内履行安全监督检查职责时，有权采取下列措施：</w:t>
            </w:r>
          </w:p>
          <w:p w14:paraId="0C2341B5">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vertAlign w:val="baseline"/>
              </w:rPr>
            </w:pPr>
            <w:r>
              <w:rPr>
                <w:rFonts w:hint="eastAsia"/>
                <w:sz w:val="24"/>
                <w:szCs w:val="24"/>
                <w:vertAlign w:val="baseline"/>
              </w:rPr>
              <w:t>(一)要求被检查单位提供有关建设工程安全生产的文件和资料；</w:t>
            </w:r>
          </w:p>
          <w:p w14:paraId="3C64649F">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vertAlign w:val="baseline"/>
              </w:rPr>
            </w:pPr>
            <w:r>
              <w:rPr>
                <w:rFonts w:hint="eastAsia"/>
                <w:sz w:val="24"/>
                <w:szCs w:val="24"/>
                <w:vertAlign w:val="baseline"/>
              </w:rPr>
              <w:t>(二)进入被检查单位施工现场进行检查；</w:t>
            </w:r>
          </w:p>
          <w:p w14:paraId="444F16D9">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vertAlign w:val="baseline"/>
              </w:rPr>
            </w:pPr>
            <w:r>
              <w:rPr>
                <w:rFonts w:hint="eastAsia"/>
                <w:sz w:val="24"/>
                <w:szCs w:val="24"/>
                <w:vertAlign w:val="baseline"/>
              </w:rPr>
              <w:t>(三)纠正施工中违反安全生产要求的行为；</w:t>
            </w:r>
          </w:p>
          <w:p w14:paraId="6FB00655">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vertAlign w:val="baseline"/>
              </w:rPr>
            </w:pPr>
            <w:r>
              <w:rPr>
                <w:rFonts w:hint="eastAsia"/>
                <w:sz w:val="24"/>
                <w:szCs w:val="24"/>
                <w:vertAlign w:val="baseline"/>
              </w:rPr>
              <w:t>(四)对检查中发现的安全事故隐患，责令立即排除；重大安全事故隐患排除前或者排除过程中无法保证安全的，责令从危险区域内撤出作业人员或者暂时停止施工。</w:t>
            </w:r>
          </w:p>
          <w:p w14:paraId="3C33063A">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vertAlign w:val="baseline"/>
              </w:rPr>
            </w:pPr>
            <w:r>
              <w:rPr>
                <w:rFonts w:hint="eastAsia"/>
                <w:sz w:val="24"/>
                <w:szCs w:val="24"/>
                <w:vertAlign w:val="baseline"/>
              </w:rPr>
              <w:t>第四十四条　建设行政主管部门或者其他有关部门可以将施工现场的监督检查委托给建设工程安全监督机构具体实施。</w:t>
            </w:r>
          </w:p>
        </w:tc>
      </w:tr>
      <w:tr w14:paraId="1DFE1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15" w:type="dxa"/>
            <w:vAlign w:val="center"/>
          </w:tcPr>
          <w:p w14:paraId="21841FA7">
            <w:pPr>
              <w:jc w:val="center"/>
              <w:rPr>
                <w:rFonts w:hint="eastAsia" w:eastAsia="仿宋_GB2312"/>
                <w:sz w:val="24"/>
                <w:szCs w:val="24"/>
                <w:vertAlign w:val="baseline"/>
                <w:lang w:val="en-US" w:eastAsia="zh-CN"/>
              </w:rPr>
            </w:pPr>
            <w:r>
              <w:rPr>
                <w:rFonts w:hint="eastAsia"/>
                <w:sz w:val="24"/>
                <w:szCs w:val="24"/>
                <w:vertAlign w:val="baseline"/>
                <w:lang w:val="en-US" w:eastAsia="zh-CN"/>
              </w:rPr>
              <w:t>3</w:t>
            </w:r>
          </w:p>
        </w:tc>
        <w:tc>
          <w:tcPr>
            <w:tcW w:w="1858" w:type="dxa"/>
            <w:vMerge w:val="continue"/>
          </w:tcPr>
          <w:p w14:paraId="3ECB2DEB">
            <w:pPr>
              <w:rPr>
                <w:sz w:val="24"/>
                <w:szCs w:val="24"/>
                <w:vertAlign w:val="baseline"/>
              </w:rPr>
            </w:pPr>
          </w:p>
        </w:tc>
        <w:tc>
          <w:tcPr>
            <w:tcW w:w="2042" w:type="dxa"/>
          </w:tcPr>
          <w:p w14:paraId="137BBE31">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eastAsia="仿宋_GB2312"/>
                <w:sz w:val="24"/>
                <w:szCs w:val="24"/>
                <w:vertAlign w:val="baseline"/>
                <w:lang w:eastAsia="zh-CN"/>
              </w:rPr>
            </w:pPr>
            <w:r>
              <w:rPr>
                <w:rFonts w:hint="eastAsia"/>
                <w:sz w:val="24"/>
                <w:szCs w:val="24"/>
                <w:vertAlign w:val="baseline"/>
                <w:lang w:eastAsia="zh-CN"/>
              </w:rPr>
              <w:t>《江苏省散装水泥促进条例》</w:t>
            </w:r>
          </w:p>
        </w:tc>
        <w:tc>
          <w:tcPr>
            <w:tcW w:w="4996" w:type="dxa"/>
          </w:tcPr>
          <w:p w14:paraId="2FE78706">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vertAlign w:val="baseline"/>
              </w:rPr>
            </w:pPr>
            <w:r>
              <w:rPr>
                <w:rFonts w:hint="eastAsia"/>
                <w:sz w:val="24"/>
                <w:szCs w:val="24"/>
                <w:vertAlign w:val="baseline"/>
              </w:rPr>
              <w:t>第六条  县级以上地方人民政府散装水泥行政主管部门负责本行政区域内发展散装水泥的监督管理。</w:t>
            </w:r>
          </w:p>
          <w:p w14:paraId="643E9E58">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vertAlign w:val="baseline"/>
              </w:rPr>
            </w:pPr>
            <w:r>
              <w:rPr>
                <w:rFonts w:hint="eastAsia"/>
                <w:sz w:val="24"/>
                <w:szCs w:val="24"/>
                <w:vertAlign w:val="baseline"/>
              </w:rPr>
              <w:t>县级以上地方人民政府其他有关行政主管部门按照各自职责，做好促进散装水泥发展的有关工作。</w:t>
            </w:r>
          </w:p>
          <w:p w14:paraId="4CEB7EB5">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vertAlign w:val="baseline"/>
              </w:rPr>
            </w:pPr>
            <w:r>
              <w:rPr>
                <w:rFonts w:hint="eastAsia"/>
                <w:sz w:val="24"/>
                <w:szCs w:val="24"/>
                <w:vertAlign w:val="baseline"/>
              </w:rPr>
              <w:t>第十八条  散装水泥行政主管部门应当加强对发展散装水泥工作的组织协调和指导，依法对散装水泥、预拌混凝土和预拌砂浆的生产和使用进行监督检查。</w:t>
            </w:r>
          </w:p>
        </w:tc>
      </w:tr>
      <w:tr w14:paraId="3A3C0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15" w:type="dxa"/>
            <w:vAlign w:val="center"/>
          </w:tcPr>
          <w:p w14:paraId="08EE0861">
            <w:pPr>
              <w:jc w:val="center"/>
              <w:rPr>
                <w:rFonts w:hint="eastAsia" w:eastAsia="仿宋_GB2312"/>
                <w:sz w:val="24"/>
                <w:szCs w:val="24"/>
                <w:vertAlign w:val="baseline"/>
                <w:lang w:val="en-US" w:eastAsia="zh-CN"/>
              </w:rPr>
            </w:pPr>
            <w:r>
              <w:rPr>
                <w:rFonts w:hint="eastAsia"/>
                <w:sz w:val="24"/>
                <w:szCs w:val="24"/>
                <w:vertAlign w:val="baseline"/>
                <w:lang w:val="en-US" w:eastAsia="zh-CN"/>
              </w:rPr>
              <w:t>4</w:t>
            </w:r>
          </w:p>
        </w:tc>
        <w:tc>
          <w:tcPr>
            <w:tcW w:w="1858" w:type="dxa"/>
            <w:vMerge w:val="continue"/>
          </w:tcPr>
          <w:p w14:paraId="13AA611A">
            <w:pPr>
              <w:rPr>
                <w:sz w:val="24"/>
                <w:szCs w:val="24"/>
                <w:vertAlign w:val="baseline"/>
              </w:rPr>
            </w:pPr>
          </w:p>
        </w:tc>
        <w:tc>
          <w:tcPr>
            <w:tcW w:w="2042" w:type="dxa"/>
          </w:tcPr>
          <w:p w14:paraId="17282FCC">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eastAsia="仿宋_GB2312"/>
                <w:sz w:val="24"/>
                <w:szCs w:val="24"/>
                <w:vertAlign w:val="baseline"/>
                <w:lang w:eastAsia="zh-CN"/>
              </w:rPr>
            </w:pPr>
            <w:r>
              <w:rPr>
                <w:rFonts w:hint="eastAsia"/>
                <w:sz w:val="24"/>
                <w:szCs w:val="24"/>
                <w:vertAlign w:val="baseline"/>
                <w:lang w:eastAsia="zh-CN"/>
              </w:rPr>
              <w:t>《保障农民工工资支付条例》</w:t>
            </w:r>
          </w:p>
        </w:tc>
        <w:tc>
          <w:tcPr>
            <w:tcW w:w="4996" w:type="dxa"/>
          </w:tcPr>
          <w:p w14:paraId="0EF9C000">
            <w:pPr>
              <w:keepNext w:val="0"/>
              <w:keepLines w:val="0"/>
              <w:pageBreakBefore w:val="0"/>
              <w:widowControl w:val="0"/>
              <w:kinsoku/>
              <w:wordWrap/>
              <w:overflowPunct/>
              <w:topLinePunct w:val="0"/>
              <w:autoSpaceDE/>
              <w:autoSpaceDN/>
              <w:bidi w:val="0"/>
              <w:adjustRightInd/>
              <w:snapToGrid/>
              <w:spacing w:line="320" w:lineRule="exact"/>
              <w:textAlignment w:val="auto"/>
              <w:rPr>
                <w:sz w:val="24"/>
                <w:szCs w:val="24"/>
                <w:vertAlign w:val="baseline"/>
              </w:rPr>
            </w:pPr>
            <w:r>
              <w:rPr>
                <w:rFonts w:hint="eastAsia"/>
                <w:sz w:val="24"/>
                <w:szCs w:val="24"/>
                <w:vertAlign w:val="baseline"/>
              </w:rPr>
              <w:t>第三十九条　人力资源社会保障行政部门、相关行业工程建设主管部门和其他有关部门应当按照职责，加强对用人单位与农民工签订劳动合同、工资支付以及工程建设项目实行农民工实名制管理、农民工工资专用账户管理、施工总承包单位代发工资、工资保证金存储、维权信息公示等情况的监督检查，预防和减少拖欠农民工工资行为的发生。</w:t>
            </w:r>
          </w:p>
        </w:tc>
      </w:tr>
      <w:tr w14:paraId="7C1B8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15" w:type="dxa"/>
            <w:vAlign w:val="center"/>
          </w:tcPr>
          <w:p w14:paraId="2DEEA518">
            <w:pPr>
              <w:jc w:val="center"/>
              <w:rPr>
                <w:rFonts w:hint="eastAsia" w:eastAsia="仿宋_GB2312"/>
                <w:sz w:val="24"/>
                <w:szCs w:val="24"/>
                <w:vertAlign w:val="baseline"/>
                <w:lang w:val="en-US" w:eastAsia="zh-CN"/>
              </w:rPr>
            </w:pPr>
            <w:r>
              <w:rPr>
                <w:rFonts w:hint="eastAsia"/>
                <w:sz w:val="24"/>
                <w:szCs w:val="24"/>
                <w:vertAlign w:val="baseline"/>
                <w:lang w:val="en-US" w:eastAsia="zh-CN"/>
              </w:rPr>
              <w:t>5</w:t>
            </w:r>
          </w:p>
        </w:tc>
        <w:tc>
          <w:tcPr>
            <w:tcW w:w="1858" w:type="dxa"/>
            <w:vMerge w:val="continue"/>
          </w:tcPr>
          <w:p w14:paraId="2BBC01D0">
            <w:pPr>
              <w:rPr>
                <w:sz w:val="24"/>
                <w:szCs w:val="24"/>
                <w:vertAlign w:val="baseline"/>
              </w:rPr>
            </w:pPr>
          </w:p>
        </w:tc>
        <w:tc>
          <w:tcPr>
            <w:tcW w:w="2042" w:type="dxa"/>
          </w:tcPr>
          <w:p w14:paraId="68C612EA">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vertAlign w:val="baseline"/>
                <w:lang w:eastAsia="zh-CN"/>
              </w:rPr>
            </w:pPr>
            <w:r>
              <w:rPr>
                <w:rFonts w:hint="eastAsia"/>
                <w:sz w:val="24"/>
                <w:szCs w:val="24"/>
                <w:vertAlign w:val="baseline"/>
                <w:lang w:eastAsia="zh-CN"/>
              </w:rPr>
              <w:t>《工程监理企业资质管理规定》</w:t>
            </w:r>
          </w:p>
          <w:p w14:paraId="0394D0A6">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vertAlign w:val="baseline"/>
                <w:lang w:eastAsia="zh-CN"/>
              </w:rPr>
            </w:pPr>
            <w:r>
              <w:rPr>
                <w:rFonts w:hint="eastAsia"/>
                <w:sz w:val="24"/>
                <w:szCs w:val="24"/>
                <w:vertAlign w:val="baseline"/>
                <w:lang w:eastAsia="zh-CN"/>
              </w:rPr>
              <w:t>《注册监理工程师管理规定》</w:t>
            </w:r>
          </w:p>
        </w:tc>
        <w:tc>
          <w:tcPr>
            <w:tcW w:w="4996" w:type="dxa"/>
          </w:tcPr>
          <w:p w14:paraId="5DF8FEEE">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vertAlign w:val="baseline"/>
                <w:lang w:eastAsia="zh-CN"/>
              </w:rPr>
            </w:pPr>
            <w:r>
              <w:rPr>
                <w:rFonts w:hint="eastAsia"/>
                <w:sz w:val="24"/>
                <w:szCs w:val="24"/>
                <w:vertAlign w:val="baseline"/>
                <w:lang w:eastAsia="zh-CN"/>
              </w:rPr>
              <w:t>《工程监理企业资质管理规定》</w:t>
            </w:r>
          </w:p>
          <w:p w14:paraId="48411B31">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vertAlign w:val="baseline"/>
                <w:lang w:eastAsia="zh-CN"/>
              </w:rPr>
            </w:pPr>
            <w:r>
              <w:rPr>
                <w:rFonts w:hint="eastAsia"/>
                <w:sz w:val="24"/>
                <w:szCs w:val="24"/>
                <w:vertAlign w:val="baseline"/>
                <w:lang w:eastAsia="zh-CN"/>
              </w:rPr>
              <w:t>第十九条　县级以上人民政府住房城乡建设主管部门和其他有关部门应当依照有关法律、法规和本规定，加强对工程监理企业资质的监督管理。</w:t>
            </w:r>
          </w:p>
          <w:p w14:paraId="168A6CBD">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vertAlign w:val="baseline"/>
                <w:lang w:eastAsia="zh-CN"/>
              </w:rPr>
            </w:pPr>
            <w:r>
              <w:rPr>
                <w:rFonts w:hint="eastAsia"/>
                <w:sz w:val="24"/>
                <w:szCs w:val="24"/>
                <w:vertAlign w:val="baseline"/>
                <w:lang w:eastAsia="zh-CN"/>
              </w:rPr>
              <w:t>第二十条　住房城乡建设主管部门履行监督检查职责时，有权采取下列措施：</w:t>
            </w:r>
          </w:p>
          <w:p w14:paraId="03773083">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vertAlign w:val="baseline"/>
                <w:lang w:eastAsia="zh-CN"/>
              </w:rPr>
            </w:pPr>
            <w:r>
              <w:rPr>
                <w:rFonts w:hint="eastAsia"/>
                <w:sz w:val="24"/>
                <w:szCs w:val="24"/>
                <w:vertAlign w:val="baseline"/>
                <w:lang w:eastAsia="zh-CN"/>
              </w:rPr>
              <w:t>（一）要求被检查单位提供工程监理企业资质证书、注册监理工程师注册执业证书，有关工程监理业务的文档，有关质量管理、安全生产管理、档案管理等企业内部管理制度的文件；</w:t>
            </w:r>
          </w:p>
          <w:p w14:paraId="41ACD911">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vertAlign w:val="baseline"/>
                <w:lang w:eastAsia="zh-CN"/>
              </w:rPr>
            </w:pPr>
            <w:r>
              <w:rPr>
                <w:rFonts w:hint="eastAsia"/>
                <w:sz w:val="24"/>
                <w:szCs w:val="24"/>
                <w:vertAlign w:val="baseline"/>
                <w:lang w:eastAsia="zh-CN"/>
              </w:rPr>
              <w:t>（二）进入被检查单位进行检查，查阅相关资料；</w:t>
            </w:r>
          </w:p>
          <w:p w14:paraId="7C30965C">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vertAlign w:val="baseline"/>
                <w:lang w:eastAsia="zh-CN"/>
              </w:rPr>
            </w:pPr>
            <w:r>
              <w:rPr>
                <w:rFonts w:hint="eastAsia"/>
                <w:sz w:val="24"/>
                <w:szCs w:val="24"/>
                <w:vertAlign w:val="baseline"/>
                <w:lang w:eastAsia="zh-CN"/>
              </w:rPr>
              <w:t>（三）纠正违反有关法律、法规和本规定及有关规范和标准的行为。</w:t>
            </w:r>
          </w:p>
          <w:p w14:paraId="01CABD96">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vertAlign w:val="baseline"/>
                <w:lang w:eastAsia="zh-CN"/>
              </w:rPr>
            </w:pPr>
            <w:r>
              <w:rPr>
                <w:rFonts w:hint="eastAsia"/>
                <w:sz w:val="24"/>
                <w:szCs w:val="24"/>
                <w:vertAlign w:val="baseline"/>
                <w:lang w:eastAsia="zh-CN"/>
              </w:rPr>
              <w:t>第二十一条　住房城乡建设主管部门进行监督检查时，应当有两名以上监督检查人员参加，并出示执法证件，不得妨碍被检查单位的正常经营活动，不得索取或者收受财物、谋取其他利益。</w:t>
            </w:r>
          </w:p>
          <w:p w14:paraId="244F4514">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vertAlign w:val="baseline"/>
                <w:lang w:eastAsia="zh-CN"/>
              </w:rPr>
            </w:pPr>
            <w:r>
              <w:rPr>
                <w:rFonts w:hint="eastAsia"/>
                <w:sz w:val="24"/>
                <w:szCs w:val="24"/>
                <w:vertAlign w:val="baseline"/>
                <w:lang w:eastAsia="zh-CN"/>
              </w:rPr>
              <w:t>有关单位和个人对依法进行的监督检查应当协助与配合，不得拒绝或者阻挠。</w:t>
            </w:r>
          </w:p>
          <w:p w14:paraId="38F31D4C">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vertAlign w:val="baseline"/>
                <w:lang w:eastAsia="zh-CN"/>
              </w:rPr>
            </w:pPr>
            <w:r>
              <w:rPr>
                <w:rFonts w:hint="eastAsia"/>
                <w:sz w:val="24"/>
                <w:szCs w:val="24"/>
                <w:vertAlign w:val="baseline"/>
                <w:lang w:eastAsia="zh-CN"/>
              </w:rPr>
              <w:t>监督检查机关应当将监督检查的处理结果向社会公布。</w:t>
            </w:r>
          </w:p>
          <w:p w14:paraId="372DAA3A">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vertAlign w:val="baseline"/>
                <w:lang w:eastAsia="zh-CN"/>
              </w:rPr>
            </w:pPr>
            <w:r>
              <w:rPr>
                <w:rFonts w:hint="eastAsia"/>
                <w:sz w:val="24"/>
                <w:szCs w:val="24"/>
                <w:vertAlign w:val="baseline"/>
                <w:lang w:eastAsia="zh-CN"/>
              </w:rPr>
              <w:t>《注册监理工程师管理规定》</w:t>
            </w:r>
          </w:p>
          <w:p w14:paraId="437A40D6">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vertAlign w:val="baseline"/>
                <w:lang w:eastAsia="zh-CN"/>
              </w:rPr>
            </w:pPr>
            <w:r>
              <w:rPr>
                <w:rFonts w:hint="eastAsia"/>
                <w:sz w:val="24"/>
                <w:szCs w:val="24"/>
                <w:vertAlign w:val="baseline"/>
                <w:lang w:eastAsia="zh-CN"/>
              </w:rPr>
              <w:t>第四条　国务院住房城乡建设主管部门对全国注册监理工程师的注册、执业活动实施统一监督管理。</w:t>
            </w:r>
          </w:p>
          <w:p w14:paraId="285F7EFB">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vertAlign w:val="baseline"/>
                <w:lang w:eastAsia="zh-CN"/>
              </w:rPr>
            </w:pPr>
            <w:r>
              <w:rPr>
                <w:rFonts w:hint="eastAsia"/>
                <w:sz w:val="24"/>
                <w:szCs w:val="24"/>
                <w:vertAlign w:val="baseline"/>
                <w:lang w:eastAsia="zh-CN"/>
              </w:rPr>
              <w:t>县级以上地方人民政府住房城乡建设主管部门对本行政区域内的注册监理工程师的注册、执业活动实施监督管理。</w:t>
            </w:r>
          </w:p>
        </w:tc>
      </w:tr>
      <w:tr w14:paraId="7F669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715" w:type="dxa"/>
            <w:vAlign w:val="center"/>
          </w:tcPr>
          <w:p w14:paraId="62DA560E">
            <w:pPr>
              <w:jc w:val="center"/>
              <w:rPr>
                <w:rFonts w:hint="eastAsia" w:eastAsia="仿宋_GB2312"/>
                <w:sz w:val="24"/>
                <w:szCs w:val="24"/>
                <w:vertAlign w:val="baseline"/>
                <w:lang w:val="en-US" w:eastAsia="zh-CN"/>
              </w:rPr>
            </w:pPr>
            <w:r>
              <w:rPr>
                <w:rFonts w:hint="eastAsia"/>
                <w:sz w:val="24"/>
                <w:szCs w:val="24"/>
                <w:vertAlign w:val="baseline"/>
                <w:lang w:val="en-US" w:eastAsia="zh-CN"/>
              </w:rPr>
              <w:t>6</w:t>
            </w:r>
          </w:p>
        </w:tc>
        <w:tc>
          <w:tcPr>
            <w:tcW w:w="1858" w:type="dxa"/>
            <w:vMerge w:val="continue"/>
          </w:tcPr>
          <w:p w14:paraId="1BA23504">
            <w:pPr>
              <w:rPr>
                <w:sz w:val="24"/>
                <w:szCs w:val="24"/>
                <w:vertAlign w:val="baseline"/>
              </w:rPr>
            </w:pPr>
          </w:p>
        </w:tc>
        <w:tc>
          <w:tcPr>
            <w:tcW w:w="2042" w:type="dxa"/>
          </w:tcPr>
          <w:p w14:paraId="12376A05">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eastAsia="仿宋_GB2312"/>
                <w:sz w:val="24"/>
                <w:szCs w:val="24"/>
                <w:vertAlign w:val="baseline"/>
                <w:lang w:eastAsia="zh-CN"/>
              </w:rPr>
            </w:pPr>
            <w:r>
              <w:rPr>
                <w:rFonts w:hint="eastAsia"/>
                <w:sz w:val="24"/>
                <w:szCs w:val="24"/>
                <w:vertAlign w:val="baseline"/>
                <w:lang w:eastAsia="zh-CN"/>
              </w:rPr>
              <w:t>《建设工程勘察设计管理条例》</w:t>
            </w:r>
          </w:p>
        </w:tc>
        <w:tc>
          <w:tcPr>
            <w:tcW w:w="4996" w:type="dxa"/>
          </w:tcPr>
          <w:p w14:paraId="29217E6F">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vertAlign w:val="baseline"/>
              </w:rPr>
            </w:pPr>
            <w:r>
              <w:rPr>
                <w:rFonts w:hint="eastAsia"/>
                <w:sz w:val="24"/>
                <w:szCs w:val="24"/>
                <w:vertAlign w:val="baseline"/>
              </w:rPr>
              <w:t>第三十一条　国务院建设行政主管部门对全国的建设工程勘察、设计活动实施统一监督管理。国务院铁路、交通、水利等有关部门按照国务院规定的职责分工，负责对全国的有关专业建设工程勘察、设计活动的监督管理。</w:t>
            </w:r>
          </w:p>
          <w:p w14:paraId="309B127A">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vertAlign w:val="baseline"/>
              </w:rPr>
            </w:pPr>
            <w:r>
              <w:rPr>
                <w:rFonts w:hint="eastAsia"/>
                <w:sz w:val="24"/>
                <w:szCs w:val="24"/>
                <w:vertAlign w:val="baseline"/>
              </w:rPr>
              <w:t>县级以上地方人民政府建设行政主管部门对本行政区域内的建设工程勘察、设计活动实施监督管理。县级以上地方人民政府交通、水利等有关部门在各自的职责范围内，负责对本行政区域内的有关专业建设工程勘察、设计活动的监督管理。</w:t>
            </w:r>
          </w:p>
        </w:tc>
      </w:tr>
      <w:tr w14:paraId="629E4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715" w:type="dxa"/>
            <w:vAlign w:val="center"/>
          </w:tcPr>
          <w:p w14:paraId="2F1A166D">
            <w:pPr>
              <w:jc w:val="center"/>
              <w:rPr>
                <w:rFonts w:hint="default"/>
                <w:sz w:val="24"/>
                <w:szCs w:val="24"/>
                <w:vertAlign w:val="baseline"/>
                <w:lang w:val="en-US" w:eastAsia="zh-CN"/>
              </w:rPr>
            </w:pPr>
            <w:r>
              <w:rPr>
                <w:rFonts w:hint="eastAsia"/>
                <w:sz w:val="24"/>
                <w:szCs w:val="24"/>
                <w:vertAlign w:val="baseline"/>
                <w:lang w:val="en-US" w:eastAsia="zh-CN"/>
              </w:rPr>
              <w:t>7</w:t>
            </w:r>
          </w:p>
        </w:tc>
        <w:tc>
          <w:tcPr>
            <w:tcW w:w="1858" w:type="dxa"/>
            <w:vMerge w:val="continue"/>
          </w:tcPr>
          <w:p w14:paraId="606FEA21">
            <w:pPr>
              <w:rPr>
                <w:sz w:val="24"/>
                <w:szCs w:val="24"/>
                <w:vertAlign w:val="baseline"/>
              </w:rPr>
            </w:pPr>
          </w:p>
        </w:tc>
        <w:tc>
          <w:tcPr>
            <w:tcW w:w="2042" w:type="dxa"/>
          </w:tcPr>
          <w:p w14:paraId="1A615C8D">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vertAlign w:val="baseline"/>
                <w:lang w:eastAsia="zh-CN"/>
              </w:rPr>
            </w:pPr>
            <w:r>
              <w:rPr>
                <w:rFonts w:hint="eastAsia"/>
                <w:sz w:val="24"/>
                <w:szCs w:val="24"/>
                <w:vertAlign w:val="baseline"/>
                <w:lang w:eastAsia="zh-CN"/>
              </w:rPr>
              <w:t>《建设工程质量检测管理办法》</w:t>
            </w:r>
          </w:p>
        </w:tc>
        <w:tc>
          <w:tcPr>
            <w:tcW w:w="4996" w:type="dxa"/>
          </w:tcPr>
          <w:p w14:paraId="39FB96B9">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vertAlign w:val="baseline"/>
              </w:rPr>
            </w:pPr>
            <w:r>
              <w:rPr>
                <w:rFonts w:hint="eastAsia"/>
                <w:sz w:val="24"/>
                <w:szCs w:val="24"/>
                <w:vertAlign w:val="baseline"/>
              </w:rPr>
              <w:t>第四条　国务院住房和城乡建设主管部门负责全国建设工程质量检测活动的监督管理。</w:t>
            </w:r>
          </w:p>
          <w:p w14:paraId="09848C00">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sz w:val="24"/>
                <w:szCs w:val="24"/>
                <w:vertAlign w:val="baseline"/>
              </w:rPr>
            </w:pPr>
            <w:r>
              <w:rPr>
                <w:rFonts w:hint="eastAsia"/>
                <w:sz w:val="24"/>
                <w:szCs w:val="24"/>
                <w:vertAlign w:val="baseline"/>
              </w:rPr>
              <w:t>县级以上地方人民政府住房和城乡建设主管部门负责本行政区域内建设工程质量检测活动的监督管理，可以委托所属的建设工程质量监督机构具体实施。</w:t>
            </w:r>
          </w:p>
          <w:p w14:paraId="3E287717">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vertAlign w:val="baseline"/>
              </w:rPr>
            </w:pPr>
            <w:r>
              <w:rPr>
                <w:rFonts w:hint="eastAsia"/>
                <w:sz w:val="24"/>
                <w:szCs w:val="24"/>
                <w:vertAlign w:val="baseline"/>
              </w:rPr>
              <w:t>第三十三条　县级以上人民政府住房和城乡建设主管部门应当对检测机构实行动态监管，通过“双随机、一公开”等方式开展监督检查。</w:t>
            </w:r>
          </w:p>
          <w:p w14:paraId="343C59E8">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vertAlign w:val="baseline"/>
              </w:rPr>
            </w:pPr>
            <w:r>
              <w:rPr>
                <w:rFonts w:hint="eastAsia"/>
                <w:sz w:val="24"/>
                <w:szCs w:val="24"/>
                <w:vertAlign w:val="baseline"/>
              </w:rPr>
              <w:t>　　实施监督检查时，有权采取下列措施：</w:t>
            </w:r>
          </w:p>
          <w:p w14:paraId="7C7C0DB6">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vertAlign w:val="baseline"/>
              </w:rPr>
            </w:pPr>
            <w:r>
              <w:rPr>
                <w:rFonts w:hint="eastAsia"/>
                <w:sz w:val="24"/>
                <w:szCs w:val="24"/>
                <w:vertAlign w:val="baseline"/>
              </w:rPr>
              <w:t>　　（一）进入建设工程施工现场或者检测机构的工作场地进行检查、抽测；</w:t>
            </w:r>
          </w:p>
          <w:p w14:paraId="12852025">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vertAlign w:val="baseline"/>
              </w:rPr>
            </w:pPr>
            <w:r>
              <w:rPr>
                <w:rFonts w:hint="eastAsia"/>
                <w:sz w:val="24"/>
                <w:szCs w:val="24"/>
                <w:vertAlign w:val="baseline"/>
              </w:rPr>
              <w:t>　　（二）向检测机构、委托方、相关单位和人员询问、调查有关情况；</w:t>
            </w:r>
          </w:p>
          <w:p w14:paraId="6D723C6D">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vertAlign w:val="baseline"/>
              </w:rPr>
            </w:pPr>
            <w:r>
              <w:rPr>
                <w:rFonts w:hint="eastAsia"/>
                <w:sz w:val="24"/>
                <w:szCs w:val="24"/>
                <w:vertAlign w:val="baseline"/>
              </w:rPr>
              <w:t>　　（三）对检测人员的建设工程质量检测知识和专业能力进行检查；</w:t>
            </w:r>
          </w:p>
          <w:p w14:paraId="32EDE0BD">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vertAlign w:val="baseline"/>
              </w:rPr>
            </w:pPr>
            <w:r>
              <w:rPr>
                <w:rFonts w:hint="eastAsia"/>
                <w:sz w:val="24"/>
                <w:szCs w:val="24"/>
                <w:vertAlign w:val="baseline"/>
              </w:rPr>
              <w:t>　　（四）查阅、复制有关检测数据、影像资料、报告、合同以及其他相关资料；</w:t>
            </w:r>
          </w:p>
          <w:p w14:paraId="4FACEE7F">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vertAlign w:val="baseline"/>
              </w:rPr>
            </w:pPr>
            <w:r>
              <w:rPr>
                <w:rFonts w:hint="eastAsia"/>
                <w:sz w:val="24"/>
                <w:szCs w:val="24"/>
                <w:vertAlign w:val="baseline"/>
              </w:rPr>
              <w:t>　　（五）组织实施能力验证或者比对试验；</w:t>
            </w:r>
          </w:p>
          <w:p w14:paraId="6DE1B963">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vertAlign w:val="baseline"/>
              </w:rPr>
            </w:pPr>
            <w:r>
              <w:rPr>
                <w:rFonts w:hint="eastAsia"/>
                <w:sz w:val="24"/>
                <w:szCs w:val="24"/>
                <w:vertAlign w:val="baseline"/>
              </w:rPr>
              <w:t>　　（六）法律、法规规定的其他措施。</w:t>
            </w:r>
          </w:p>
        </w:tc>
      </w:tr>
      <w:tr w14:paraId="3086A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715" w:type="dxa"/>
            <w:vAlign w:val="center"/>
          </w:tcPr>
          <w:p w14:paraId="741553F5">
            <w:pPr>
              <w:jc w:val="center"/>
              <w:rPr>
                <w:rFonts w:hint="default"/>
                <w:sz w:val="24"/>
                <w:szCs w:val="24"/>
                <w:vertAlign w:val="baseline"/>
                <w:lang w:val="en-US" w:eastAsia="zh-CN"/>
              </w:rPr>
            </w:pPr>
            <w:r>
              <w:rPr>
                <w:rFonts w:hint="eastAsia"/>
                <w:sz w:val="24"/>
                <w:szCs w:val="24"/>
                <w:vertAlign w:val="baseline"/>
                <w:lang w:val="en-US" w:eastAsia="zh-CN"/>
              </w:rPr>
              <w:t>8</w:t>
            </w:r>
          </w:p>
        </w:tc>
        <w:tc>
          <w:tcPr>
            <w:tcW w:w="1858" w:type="dxa"/>
            <w:vMerge w:val="continue"/>
          </w:tcPr>
          <w:p w14:paraId="54E73407">
            <w:pPr>
              <w:rPr>
                <w:sz w:val="24"/>
                <w:szCs w:val="24"/>
                <w:vertAlign w:val="baseline"/>
              </w:rPr>
            </w:pPr>
          </w:p>
        </w:tc>
        <w:tc>
          <w:tcPr>
            <w:tcW w:w="2042" w:type="dxa"/>
          </w:tcPr>
          <w:p w14:paraId="27A783EF">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vertAlign w:val="baseline"/>
                <w:lang w:eastAsia="zh-CN"/>
              </w:rPr>
            </w:pPr>
            <w:r>
              <w:rPr>
                <w:rFonts w:hint="eastAsia"/>
                <w:sz w:val="24"/>
                <w:szCs w:val="24"/>
                <w:vertAlign w:val="baseline"/>
                <w:lang w:eastAsia="zh-CN"/>
              </w:rPr>
              <w:t>《工程造价咨询企业管理办法》</w:t>
            </w:r>
          </w:p>
          <w:p w14:paraId="782650D7">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vertAlign w:val="baseline"/>
                <w:lang w:eastAsia="zh-CN"/>
              </w:rPr>
            </w:pPr>
          </w:p>
        </w:tc>
        <w:tc>
          <w:tcPr>
            <w:tcW w:w="4996" w:type="dxa"/>
          </w:tcPr>
          <w:p w14:paraId="749EE49D">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vertAlign w:val="baseline"/>
              </w:rPr>
            </w:pPr>
            <w:r>
              <w:rPr>
                <w:rFonts w:hint="eastAsia"/>
                <w:sz w:val="24"/>
                <w:szCs w:val="24"/>
                <w:vertAlign w:val="baseline"/>
              </w:rPr>
              <w:t>第二十七条　县级以上地方人民政府住房城乡建设主管部门、有关专业部门应当依照有关法律、法规和本办法的规定，对工程造价咨询企业从事工程造价咨询业务的活动实施监督检查。</w:t>
            </w:r>
          </w:p>
          <w:p w14:paraId="7255C901">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vertAlign w:val="baseline"/>
              </w:rPr>
            </w:pPr>
            <w:r>
              <w:rPr>
                <w:rFonts w:hint="eastAsia"/>
                <w:sz w:val="24"/>
                <w:szCs w:val="24"/>
                <w:vertAlign w:val="baseline"/>
              </w:rPr>
              <w:t>　　第二十八条　监督检查机关履行监督检查职责时，有权采取下列措施：</w:t>
            </w:r>
          </w:p>
          <w:p w14:paraId="4D5227BA">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vertAlign w:val="baseline"/>
              </w:rPr>
            </w:pPr>
            <w:r>
              <w:rPr>
                <w:rFonts w:hint="eastAsia"/>
                <w:sz w:val="24"/>
                <w:szCs w:val="24"/>
                <w:vertAlign w:val="baseline"/>
              </w:rPr>
              <w:t>　　（一）要求被检查单位提供工程造价咨询企业资质证书、造价工程师注册证书，有关工程造价咨询业务的文档，有关技术档案管理制度、质量控制制度、财务管理制度的文件；</w:t>
            </w:r>
          </w:p>
          <w:p w14:paraId="551A772A">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vertAlign w:val="baseline"/>
              </w:rPr>
            </w:pPr>
            <w:r>
              <w:rPr>
                <w:rFonts w:hint="eastAsia"/>
                <w:sz w:val="24"/>
                <w:szCs w:val="24"/>
                <w:vertAlign w:val="baseline"/>
              </w:rPr>
              <w:t>　　（二）进入被检查单位进行检查，查阅工程造价咨询成果文件以及工程造价咨询合同等相关资料；</w:t>
            </w:r>
          </w:p>
          <w:p w14:paraId="49365BE8">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vertAlign w:val="baseline"/>
              </w:rPr>
            </w:pPr>
            <w:r>
              <w:rPr>
                <w:rFonts w:hint="eastAsia"/>
                <w:sz w:val="24"/>
                <w:szCs w:val="24"/>
                <w:vertAlign w:val="baseline"/>
              </w:rPr>
              <w:t>　　（三）纠正违反有关法律、法规和本办法及执业规程规定的行为。</w:t>
            </w:r>
          </w:p>
          <w:p w14:paraId="17374EBB">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vertAlign w:val="baseline"/>
              </w:rPr>
            </w:pPr>
            <w:r>
              <w:rPr>
                <w:rFonts w:hint="eastAsia"/>
                <w:sz w:val="24"/>
                <w:szCs w:val="24"/>
                <w:vertAlign w:val="baseline"/>
              </w:rPr>
              <w:t>　　监督检查机关应当将监督检查的处理结果向社会公布。</w:t>
            </w:r>
          </w:p>
          <w:p w14:paraId="10C215F2">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vertAlign w:val="baseline"/>
              </w:rPr>
            </w:pPr>
            <w:r>
              <w:rPr>
                <w:rFonts w:hint="eastAsia"/>
                <w:sz w:val="24"/>
                <w:szCs w:val="24"/>
                <w:vertAlign w:val="baseline"/>
              </w:rPr>
              <w:t>　　第二十九条　监督检查机关进行监督检查时，应当有两名以上监督检查人员参加，并出示执法证件，不得妨碍被检查单位的正常经营活动，不得索取或者收受财物、谋取其他利益。</w:t>
            </w:r>
          </w:p>
          <w:p w14:paraId="702EF4FF">
            <w:pPr>
              <w:keepNext w:val="0"/>
              <w:keepLines w:val="0"/>
              <w:pageBreakBefore w:val="0"/>
              <w:widowControl w:val="0"/>
              <w:kinsoku/>
              <w:wordWrap/>
              <w:overflowPunct/>
              <w:topLinePunct w:val="0"/>
              <w:autoSpaceDE/>
              <w:autoSpaceDN/>
              <w:bidi w:val="0"/>
              <w:adjustRightInd/>
              <w:snapToGrid/>
              <w:spacing w:line="320" w:lineRule="exact"/>
              <w:ind w:firstLine="504"/>
              <w:textAlignment w:val="auto"/>
              <w:rPr>
                <w:rFonts w:hint="eastAsia"/>
                <w:sz w:val="24"/>
                <w:szCs w:val="24"/>
                <w:vertAlign w:val="baseline"/>
              </w:rPr>
            </w:pPr>
            <w:r>
              <w:rPr>
                <w:rFonts w:hint="eastAsia"/>
                <w:sz w:val="24"/>
                <w:szCs w:val="24"/>
                <w:vertAlign w:val="baseline"/>
              </w:rPr>
              <w:t>有关单位和个人对依法进行的监督检查应当协助与配合，不得拒绝或者阻挠。</w:t>
            </w:r>
          </w:p>
        </w:tc>
      </w:tr>
      <w:tr w14:paraId="38557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715" w:type="dxa"/>
            <w:vAlign w:val="center"/>
          </w:tcPr>
          <w:p w14:paraId="13C26124">
            <w:pPr>
              <w:jc w:val="center"/>
              <w:rPr>
                <w:rFonts w:hint="default"/>
                <w:sz w:val="24"/>
                <w:szCs w:val="24"/>
                <w:vertAlign w:val="baseline"/>
                <w:lang w:val="en-US" w:eastAsia="zh-CN"/>
              </w:rPr>
            </w:pPr>
            <w:r>
              <w:rPr>
                <w:rFonts w:hint="eastAsia"/>
                <w:sz w:val="24"/>
                <w:szCs w:val="24"/>
                <w:vertAlign w:val="baseline"/>
                <w:lang w:val="en-US" w:eastAsia="zh-CN"/>
              </w:rPr>
              <w:t>9</w:t>
            </w:r>
          </w:p>
        </w:tc>
        <w:tc>
          <w:tcPr>
            <w:tcW w:w="1858" w:type="dxa"/>
            <w:vMerge w:val="continue"/>
          </w:tcPr>
          <w:p w14:paraId="13E465A3">
            <w:pPr>
              <w:rPr>
                <w:sz w:val="24"/>
                <w:szCs w:val="24"/>
                <w:vertAlign w:val="baseline"/>
              </w:rPr>
            </w:pPr>
          </w:p>
        </w:tc>
        <w:tc>
          <w:tcPr>
            <w:tcW w:w="2042" w:type="dxa"/>
          </w:tcPr>
          <w:p w14:paraId="0E8F2C93">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vertAlign w:val="baseline"/>
                <w:lang w:eastAsia="zh-CN"/>
              </w:rPr>
            </w:pPr>
            <w:r>
              <w:rPr>
                <w:rFonts w:hint="eastAsia"/>
                <w:sz w:val="24"/>
                <w:szCs w:val="24"/>
                <w:vertAlign w:val="baseline"/>
                <w:lang w:eastAsia="zh-CN"/>
              </w:rPr>
              <w:t>《城市房地产开发经营管理条例》</w:t>
            </w:r>
          </w:p>
          <w:p w14:paraId="333D517A">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vertAlign w:val="baseline"/>
                <w:lang w:eastAsia="zh-CN"/>
              </w:rPr>
            </w:pPr>
          </w:p>
        </w:tc>
        <w:tc>
          <w:tcPr>
            <w:tcW w:w="4996" w:type="dxa"/>
          </w:tcPr>
          <w:p w14:paraId="569438A3">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vertAlign w:val="baseline"/>
              </w:rPr>
            </w:pPr>
            <w:r>
              <w:rPr>
                <w:rFonts w:hint="eastAsia"/>
                <w:sz w:val="24"/>
                <w:szCs w:val="24"/>
                <w:vertAlign w:val="baseline"/>
              </w:rPr>
              <w:t>第四条　国务院建设行政主管部门负责全国房地产开发经营活动的监督管理工作。</w:t>
            </w:r>
          </w:p>
          <w:p w14:paraId="49AB062B">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vertAlign w:val="baseline"/>
                <w:lang w:eastAsia="zh-CN"/>
              </w:rPr>
            </w:pPr>
            <w:r>
              <w:rPr>
                <w:rFonts w:hint="eastAsia"/>
                <w:sz w:val="24"/>
                <w:szCs w:val="24"/>
                <w:vertAlign w:val="baseline"/>
              </w:rPr>
              <w:t>县级以上地方人民政府房地产开发主管部门负责本行政区域内房地产开发经营活动的监督管理工作。</w:t>
            </w:r>
          </w:p>
        </w:tc>
      </w:tr>
      <w:tr w14:paraId="6E002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715" w:type="dxa"/>
            <w:vAlign w:val="center"/>
          </w:tcPr>
          <w:p w14:paraId="6819C50F">
            <w:pPr>
              <w:jc w:val="center"/>
              <w:rPr>
                <w:rFonts w:hint="default"/>
                <w:sz w:val="24"/>
                <w:szCs w:val="24"/>
                <w:vertAlign w:val="baseline"/>
                <w:lang w:val="en-US" w:eastAsia="zh-CN"/>
              </w:rPr>
            </w:pPr>
            <w:r>
              <w:rPr>
                <w:rFonts w:hint="eastAsia"/>
                <w:sz w:val="24"/>
                <w:szCs w:val="24"/>
                <w:vertAlign w:val="baseline"/>
                <w:lang w:val="en-US" w:eastAsia="zh-CN"/>
              </w:rPr>
              <w:t>10</w:t>
            </w:r>
          </w:p>
        </w:tc>
        <w:tc>
          <w:tcPr>
            <w:tcW w:w="1858" w:type="dxa"/>
            <w:vMerge w:val="continue"/>
          </w:tcPr>
          <w:p w14:paraId="2AC624FB">
            <w:pPr>
              <w:rPr>
                <w:sz w:val="24"/>
                <w:szCs w:val="24"/>
                <w:vertAlign w:val="baseline"/>
              </w:rPr>
            </w:pPr>
          </w:p>
        </w:tc>
        <w:tc>
          <w:tcPr>
            <w:tcW w:w="2042" w:type="dxa"/>
          </w:tcPr>
          <w:p w14:paraId="3F46CFCC">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vertAlign w:val="baseline"/>
                <w:lang w:eastAsia="zh-CN"/>
              </w:rPr>
            </w:pPr>
            <w:r>
              <w:rPr>
                <w:rFonts w:hint="eastAsia"/>
                <w:sz w:val="24"/>
                <w:szCs w:val="24"/>
                <w:vertAlign w:val="baseline"/>
                <w:lang w:eastAsia="zh-CN"/>
              </w:rPr>
              <w:t>《城镇排水与污水处理条例》</w:t>
            </w:r>
          </w:p>
        </w:tc>
        <w:tc>
          <w:tcPr>
            <w:tcW w:w="4996" w:type="dxa"/>
          </w:tcPr>
          <w:p w14:paraId="3A53021F">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vertAlign w:val="baseline"/>
              </w:rPr>
            </w:pPr>
            <w:r>
              <w:rPr>
                <w:rFonts w:hint="eastAsia"/>
                <w:sz w:val="24"/>
                <w:szCs w:val="24"/>
                <w:vertAlign w:val="baseline"/>
              </w:rPr>
              <w:t>第五条　国务院住房城乡建设主管部门指导监督全国城镇排水与污水处理工作。</w:t>
            </w:r>
          </w:p>
          <w:p w14:paraId="3320AA01">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vertAlign w:val="baseline"/>
              </w:rPr>
            </w:pPr>
            <w:r>
              <w:rPr>
                <w:rFonts w:hint="eastAsia"/>
                <w:sz w:val="24"/>
                <w:szCs w:val="24"/>
                <w:vertAlign w:val="baseline"/>
              </w:rPr>
              <w:t>县级以上地方人民政府城镇排水与污水处理主管部门(以下称城镇排水主管部门)负责本行政区域内城镇排水与污水处理的监督管理工作。</w:t>
            </w:r>
          </w:p>
          <w:p w14:paraId="41CABF7D">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vertAlign w:val="baseline"/>
              </w:rPr>
            </w:pPr>
            <w:r>
              <w:rPr>
                <w:rFonts w:hint="eastAsia"/>
                <w:sz w:val="24"/>
                <w:szCs w:val="24"/>
                <w:vertAlign w:val="baseline"/>
              </w:rPr>
              <w:t>第四十四条　县级以上人民政府城镇排水主管部门应当会同有关部门，加强对城镇排水与污水处理设施运行维护和保护情况的监督检查，并将检查情况及结果向社会公开。实施监督检查时，有权采取下列措施：</w:t>
            </w:r>
          </w:p>
          <w:p w14:paraId="6675A70D">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vertAlign w:val="baseline"/>
              </w:rPr>
            </w:pPr>
            <w:r>
              <w:rPr>
                <w:rFonts w:hint="eastAsia"/>
                <w:sz w:val="24"/>
                <w:szCs w:val="24"/>
                <w:vertAlign w:val="baseline"/>
              </w:rPr>
              <w:t>(一)进入现场进行检查、监测；</w:t>
            </w:r>
          </w:p>
          <w:p w14:paraId="2C4E1AA3">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vertAlign w:val="baseline"/>
              </w:rPr>
            </w:pPr>
            <w:r>
              <w:rPr>
                <w:rFonts w:hint="eastAsia"/>
                <w:sz w:val="24"/>
                <w:szCs w:val="24"/>
                <w:vertAlign w:val="baseline"/>
              </w:rPr>
              <w:t>(二)查阅、复制有关文件和资料；</w:t>
            </w:r>
          </w:p>
          <w:p w14:paraId="42C9036B">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vertAlign w:val="baseline"/>
              </w:rPr>
            </w:pPr>
            <w:r>
              <w:rPr>
                <w:rFonts w:hint="eastAsia"/>
                <w:sz w:val="24"/>
                <w:szCs w:val="24"/>
                <w:vertAlign w:val="baseline"/>
              </w:rPr>
              <w:t>(三)要求被监督检查的单位和个人就有关问题作出说明。</w:t>
            </w:r>
          </w:p>
          <w:p w14:paraId="35254417">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vertAlign w:val="baseline"/>
              </w:rPr>
            </w:pPr>
            <w:r>
              <w:rPr>
                <w:rFonts w:hint="eastAsia"/>
                <w:sz w:val="24"/>
                <w:szCs w:val="24"/>
                <w:vertAlign w:val="baseline"/>
              </w:rPr>
              <w:t>被监督检查的单位和个人应当予以配合，不得妨碍和阻挠依法进行的监督检查活动。</w:t>
            </w:r>
          </w:p>
        </w:tc>
      </w:tr>
      <w:tr w14:paraId="6B314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715" w:type="dxa"/>
            <w:vAlign w:val="center"/>
          </w:tcPr>
          <w:p w14:paraId="4B4D1C87">
            <w:pPr>
              <w:jc w:val="center"/>
              <w:rPr>
                <w:rFonts w:hint="default"/>
                <w:sz w:val="24"/>
                <w:szCs w:val="24"/>
                <w:vertAlign w:val="baseline"/>
                <w:lang w:val="en-US" w:eastAsia="zh-CN"/>
              </w:rPr>
            </w:pPr>
            <w:r>
              <w:rPr>
                <w:rFonts w:hint="eastAsia"/>
                <w:sz w:val="24"/>
                <w:szCs w:val="24"/>
                <w:vertAlign w:val="baseline"/>
                <w:lang w:val="en-US" w:eastAsia="zh-CN"/>
              </w:rPr>
              <w:t>11</w:t>
            </w:r>
          </w:p>
        </w:tc>
        <w:tc>
          <w:tcPr>
            <w:tcW w:w="1858" w:type="dxa"/>
            <w:vMerge w:val="continue"/>
          </w:tcPr>
          <w:p w14:paraId="4F4220C9">
            <w:pPr>
              <w:rPr>
                <w:sz w:val="24"/>
                <w:szCs w:val="24"/>
                <w:vertAlign w:val="baseline"/>
              </w:rPr>
            </w:pPr>
          </w:p>
        </w:tc>
        <w:tc>
          <w:tcPr>
            <w:tcW w:w="2042" w:type="dxa"/>
          </w:tcPr>
          <w:p w14:paraId="3C6E1311">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vertAlign w:val="baseline"/>
                <w:lang w:eastAsia="zh-CN"/>
              </w:rPr>
            </w:pPr>
            <w:r>
              <w:rPr>
                <w:rFonts w:hint="eastAsia"/>
                <w:sz w:val="24"/>
                <w:szCs w:val="24"/>
                <w:vertAlign w:val="baseline"/>
                <w:lang w:eastAsia="zh-CN"/>
              </w:rPr>
              <w:t>《宿迁市扬尘污染防治条例》</w:t>
            </w:r>
          </w:p>
        </w:tc>
        <w:tc>
          <w:tcPr>
            <w:tcW w:w="4996" w:type="dxa"/>
          </w:tcPr>
          <w:p w14:paraId="312D4D89">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vertAlign w:val="baseline"/>
              </w:rPr>
            </w:pPr>
            <w:r>
              <w:rPr>
                <w:rFonts w:hint="eastAsia"/>
                <w:sz w:val="24"/>
                <w:szCs w:val="24"/>
                <w:vertAlign w:val="baseline"/>
              </w:rPr>
              <w:t>第二十一条  生态环境主管部门对本行政区域内的扬尘污染防治实施统一监督管理，负责工业企业物料堆放场所扬尘污染、预拌混凝土及砂浆等企业的扬尘污染防治监督管理工作。</w:t>
            </w:r>
          </w:p>
          <w:p w14:paraId="44147FEA">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vertAlign w:val="baseline"/>
              </w:rPr>
            </w:pPr>
            <w:r>
              <w:rPr>
                <w:rFonts w:hint="eastAsia"/>
                <w:sz w:val="24"/>
                <w:szCs w:val="24"/>
                <w:vertAlign w:val="baseline"/>
              </w:rPr>
              <w:t>住房和城乡建设主管部门负责房屋及其附属设施建筑（含装饰装修）工程、市政工程、园林绿化工程、国有土地上房屋征收拆除工程等施工中的扬尘污染防治监督管理工作。</w:t>
            </w:r>
          </w:p>
          <w:p w14:paraId="6AB13176">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vertAlign w:val="baseline"/>
              </w:rPr>
            </w:pPr>
            <w:r>
              <w:rPr>
                <w:rFonts w:hint="eastAsia"/>
                <w:sz w:val="24"/>
                <w:szCs w:val="24"/>
                <w:vertAlign w:val="baseline"/>
              </w:rPr>
              <w:t xml:space="preserve">第二十四条  负有扬尘污染防治监督管理职责的部门应当建立巡查机制，依法对扬尘污染防治工作进行监督管理和现场检查。 </w:t>
            </w:r>
          </w:p>
          <w:p w14:paraId="7C56E11D">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vertAlign w:val="baseline"/>
              </w:rPr>
            </w:pPr>
            <w:r>
              <w:rPr>
                <w:rFonts w:hint="eastAsia"/>
                <w:sz w:val="24"/>
                <w:szCs w:val="24"/>
                <w:vertAlign w:val="baseline"/>
              </w:rPr>
              <w:t>生态环境主管部门根据扬尘防治工作的需要，可以会同相关管理部门实施联合执法检查。</w:t>
            </w:r>
          </w:p>
          <w:p w14:paraId="159629DF">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vertAlign w:val="baseline"/>
              </w:rPr>
            </w:pPr>
            <w:r>
              <w:rPr>
                <w:rFonts w:hint="eastAsia"/>
                <w:sz w:val="24"/>
                <w:szCs w:val="24"/>
                <w:vertAlign w:val="baseline"/>
              </w:rPr>
              <w:t>被检查的单位或者个人应当配合监督检查，不得弄虚作假。</w:t>
            </w:r>
          </w:p>
        </w:tc>
      </w:tr>
      <w:tr w14:paraId="3CA6F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715" w:type="dxa"/>
            <w:vAlign w:val="center"/>
          </w:tcPr>
          <w:p w14:paraId="249DDEB1">
            <w:pPr>
              <w:jc w:val="center"/>
              <w:rPr>
                <w:rFonts w:hint="default"/>
                <w:sz w:val="24"/>
                <w:szCs w:val="24"/>
                <w:vertAlign w:val="baseline"/>
                <w:lang w:val="en-US" w:eastAsia="zh-CN"/>
              </w:rPr>
            </w:pPr>
            <w:r>
              <w:rPr>
                <w:rFonts w:hint="eastAsia"/>
                <w:sz w:val="24"/>
                <w:szCs w:val="24"/>
                <w:vertAlign w:val="baseline"/>
                <w:lang w:val="en-US" w:eastAsia="zh-CN"/>
              </w:rPr>
              <w:t>12</w:t>
            </w:r>
            <w:bookmarkStart w:id="0" w:name="_GoBack"/>
            <w:bookmarkEnd w:id="0"/>
          </w:p>
        </w:tc>
        <w:tc>
          <w:tcPr>
            <w:tcW w:w="1858" w:type="dxa"/>
            <w:vMerge w:val="continue"/>
          </w:tcPr>
          <w:p w14:paraId="1EBE311E">
            <w:pPr>
              <w:rPr>
                <w:sz w:val="24"/>
                <w:szCs w:val="24"/>
                <w:vertAlign w:val="baseline"/>
              </w:rPr>
            </w:pPr>
          </w:p>
        </w:tc>
        <w:tc>
          <w:tcPr>
            <w:tcW w:w="2042" w:type="dxa"/>
          </w:tcPr>
          <w:p w14:paraId="2D45B49D">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vertAlign w:val="baseline"/>
                <w:lang w:eastAsia="zh-CN"/>
              </w:rPr>
            </w:pPr>
            <w:r>
              <w:rPr>
                <w:rFonts w:hint="eastAsia"/>
                <w:sz w:val="24"/>
                <w:szCs w:val="24"/>
                <w:vertAlign w:val="baseline"/>
                <w:lang w:eastAsia="zh-CN"/>
              </w:rPr>
              <w:t>《城镇燃气管理条例》</w:t>
            </w:r>
          </w:p>
          <w:p w14:paraId="230CBB22">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vertAlign w:val="baseline"/>
                <w:lang w:eastAsia="zh-CN"/>
              </w:rPr>
            </w:pPr>
          </w:p>
          <w:p w14:paraId="75B656D4">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vertAlign w:val="baseline"/>
                <w:lang w:eastAsia="zh-CN"/>
              </w:rPr>
            </w:pPr>
          </w:p>
        </w:tc>
        <w:tc>
          <w:tcPr>
            <w:tcW w:w="4996" w:type="dxa"/>
          </w:tcPr>
          <w:p w14:paraId="25FB3599">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vertAlign w:val="baseline"/>
              </w:rPr>
            </w:pPr>
            <w:r>
              <w:rPr>
                <w:rFonts w:hint="eastAsia"/>
                <w:sz w:val="24"/>
                <w:szCs w:val="24"/>
                <w:vertAlign w:val="baseline"/>
              </w:rPr>
              <w:t>第五条　国务院建设主管部门负责全国的燃气管理工作。</w:t>
            </w:r>
          </w:p>
          <w:p w14:paraId="35742E43">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vertAlign w:val="baseline"/>
              </w:rPr>
            </w:pPr>
            <w:r>
              <w:rPr>
                <w:rFonts w:hint="eastAsia"/>
                <w:sz w:val="24"/>
                <w:szCs w:val="24"/>
                <w:vertAlign w:val="baseline"/>
              </w:rPr>
              <w:t>县级以上地方人民政府燃气管理部门负责本行政区域内的燃气管理工作。</w:t>
            </w:r>
          </w:p>
          <w:p w14:paraId="3ECCBF7A">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vertAlign w:val="baseline"/>
              </w:rPr>
            </w:pPr>
            <w:r>
              <w:rPr>
                <w:rFonts w:hint="eastAsia"/>
                <w:sz w:val="24"/>
                <w:szCs w:val="24"/>
                <w:vertAlign w:val="baseline"/>
              </w:rPr>
              <w:t>第四十一条　燃气经营者应当建立健全燃气安全评估和风险管理体系，发现燃气安全事故隐患的，应当及时采取措施消除隐患。</w:t>
            </w:r>
          </w:p>
          <w:p w14:paraId="1FD07264">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vertAlign w:val="baseline"/>
              </w:rPr>
            </w:pPr>
            <w:r>
              <w:rPr>
                <w:rFonts w:hint="eastAsia"/>
                <w:sz w:val="24"/>
                <w:szCs w:val="24"/>
                <w:vertAlign w:val="baseline"/>
              </w:rPr>
              <w:t>燃气管理部门以及其他有关部门和单位应当根据各自职责，对燃气经营、燃气使用的安全状况等进行监督检查，发现燃气安全事故隐患的，应当通知燃气经营者、燃气用户及时采取措施消除隐患；不及时消除隐患可能严重威胁公共安全的，燃气管理部门以及其他有关部门和单位应当依法采取措施，及时组织消除隐患，有关单位和个人应当予以配合。</w:t>
            </w:r>
          </w:p>
        </w:tc>
      </w:tr>
    </w:tbl>
    <w:p w14:paraId="07DB0B1C"/>
    <w:sectPr>
      <w:pgSz w:w="11906" w:h="16838"/>
      <w:pgMar w:top="2098" w:right="1417" w:bottom="1814" w:left="1417" w:header="851" w:footer="992" w:gutter="0"/>
      <w:cols w:space="0" w:num="1"/>
      <w:rtlGutter w:val="0"/>
      <w:docGrid w:type="lines" w:linePitch="43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auto"/>
    <w:pitch w:val="default"/>
    <w:sig w:usb0="80000287" w:usb1="2ACF3C50" w:usb2="00000016" w:usb3="00000000" w:csb0="0004001F" w:csb1="00000000"/>
  </w:font>
  <w:font w:name="方正黑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2E6257"/>
    <w:rsid w:val="033E696D"/>
    <w:rsid w:val="0733430F"/>
    <w:rsid w:val="1E162569"/>
    <w:rsid w:val="239B21AA"/>
    <w:rsid w:val="24CC572F"/>
    <w:rsid w:val="2E0B376C"/>
    <w:rsid w:val="31BC6B2B"/>
    <w:rsid w:val="33DE6B8E"/>
    <w:rsid w:val="3B4601E4"/>
    <w:rsid w:val="3EBE2135"/>
    <w:rsid w:val="4EDE7C89"/>
    <w:rsid w:val="65402FF4"/>
    <w:rsid w:val="66F82119"/>
    <w:rsid w:val="6C7D68DC"/>
    <w:rsid w:val="71B763EC"/>
    <w:rsid w:val="74650381"/>
    <w:rsid w:val="798001CC"/>
    <w:rsid w:val="7B937E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heme="minorBidi"/>
      <w:kern w:val="2"/>
      <w:sz w:val="32"/>
      <w:szCs w:val="32"/>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eastAsia="宋体" w:cs="Courier New"/>
      <w:szCs w:val="21"/>
    </w:r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qFormat/>
    <w:uiPriority w:val="0"/>
    <w:rPr>
      <w:b/>
    </w:rPr>
  </w:style>
  <w:style w:type="paragraph" w:customStyle="1" w:styleId="8">
    <w:name w:val=" Char Char1 Char Char"/>
    <w:basedOn w:val="1"/>
    <w:qFormat/>
    <w:uiPriority w:val="0"/>
    <w:pPr>
      <w:widowControl/>
      <w:spacing w:after="160" w:line="240" w:lineRule="exact"/>
      <w:jc w:val="left"/>
    </w:pPr>
    <w:rPr>
      <w:rFonts w:ascii="Arial" w:hAnsi="Arial" w:eastAsia="Times New Roman" w:cs="Verdana"/>
      <w:b/>
      <w:kern w:val="0"/>
      <w:sz w:val="24"/>
      <w:szCs w:val="32"/>
      <w:lang w:eastAsia="en-U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3724</Words>
  <Characters>3728</Characters>
  <Lines>0</Lines>
  <Paragraphs>0</Paragraphs>
  <TotalTime>1</TotalTime>
  <ScaleCrop>false</ScaleCrop>
  <LinksUpToDate>false</LinksUpToDate>
  <CharactersWithSpaces>3787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2023-08-04T01:30:00Z</dcterms:created>
  <dc:creator>Administrator</dc:creator>
  <cp:lastModifiedBy>123</cp:lastModifiedBy>
  <dcterms:modified xsi:type="dcterms:W3CDTF">2025-03-12T07:40:45Z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15167DCC5C6848028D2D6A221ACAD52B_12</vt:lpwstr>
  </property>
  <property fmtid="{D5CDD505-2E9C-101B-9397-08002B2CF9AE}" pid="4" name="KSOTemplateDocerSaveRecord">
    <vt:lpwstr>eyJoZGlkIjoiNWQxZDU3MjE0YTZlZTQxZGM0OGIwMTI0OTUxOWY5ODciLCJ1c2VySWQiOiIyNTcxMjgxOTkifQ==</vt:lpwstr>
  </property>
</Properties>
</file>