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3"/>
        <w:keepNext w:val="0"/>
        <w:keepLines w:val="0"/>
        <w:widowControl/>
        <w:suppressLineNumbers w:val="0"/>
        <w:pBdr>
          <w:top w:val="none" w:sz="0" w:space="0" w:color="auto"/>
          <w:left w:val="none" w:sz="0" w:space="0" w:color="auto"/>
          <w:bottom w:val="none" w:sz="0" w:space="0" w:color="auto"/>
          <w:right w:val="none" w:sz="0" w:space="0" w:color="auto"/>
        </w:pBdr>
        <w:shd w:val="clear" w:color="auto" w:fill="auto"/>
        <w:spacing w:before="0" w:beforeAutospacing="0" w:after="0" w:afterAutospacing="0" w:line="554" w:lineRule="atLeast"/>
        <w:ind w:left="0" w:right="0" w:firstLine="0"/>
        <w:jc w:val="center"/>
        <w:rPr>
          <w:rFonts w:ascii="方正小标宋_GBK" w:eastAsia="方正小标宋_GBK" w:cs="方正小标宋_GBK" w:hint="eastAsia"/>
          <w:b w:val="0"/>
          <w:bCs w:val="0"/>
          <w:i w:val="0"/>
          <w:iCs w:val="0"/>
          <w:caps w:val="0"/>
          <w:smallCaps w:val="0"/>
          <w:color w:val="333333"/>
          <w:spacing w:val="0"/>
          <w:sz w:val="40"/>
          <w:szCs w:val="40"/>
        </w:rPr>
      </w:pPr>
      <w:r>
        <w:rPr>
          <w:rFonts w:ascii="方正小标宋_GBK" w:eastAsia="方正小标宋_GBK" w:cs="方正小标宋_GBK" w:hint="eastAsia"/>
          <w:b w:val="0"/>
          <w:bCs w:val="0"/>
          <w:i w:val="0"/>
          <w:iCs w:val="0"/>
          <w:caps w:val="0"/>
          <w:smallCaps w:val="0"/>
          <w:color w:val="333333"/>
          <w:spacing w:val="0"/>
          <w:sz w:val="40"/>
          <w:szCs w:val="40"/>
          <w:shd w:val="clear" w:color="auto" w:fill="FFFFFF"/>
        </w:rPr>
        <w:t>行政检查事项及检查依据</w:t>
      </w:r>
    </w:p>
    <w:tbl>
      <w:tblPr>
        <w:jc w:val="left"/>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56"/>
        <w:gridCol w:w="1685"/>
        <w:gridCol w:w="1013"/>
        <w:gridCol w:w="5506"/>
        <w:gridCol w:w="1546"/>
        <w:gridCol w:w="1431"/>
        <w:gridCol w:w="1616"/>
        <w:gridCol w:w="1197"/>
      </w:tblGrid>
      <w:tr>
        <w:trPr>
          <w:trHeight w:val="453"/>
        </w:trPr>
        <w:tc>
          <w:tcPr>
            <w:tcW w:w="873" w:type="dxa"/>
            <w:tcBorders>
              <w:top w:val="single" w:sz="4" w:space="0" w:color="auto"/>
              <w:left w:val="single" w:sz="4" w:space="0" w:color="auto"/>
              <w:bottom w:val="single" w:sz="4" w:space="0" w:color="auto"/>
              <w:right w:val="single" w:sz="4" w:space="0" w:color="auto"/>
            </w:tcBorders>
            <w:noWrap/>
            <w:vAlign w:val="center"/>
          </w:tcPr>
          <w:p>
            <w:pPr>
              <w:jc w:val="center"/>
              <w:rPr>
                <w:rFonts w:ascii="方正黑体_GBK" w:eastAsia="方正黑体_GBK" w:cs="方正黑体_GBK" w:hint="eastAsia"/>
                <w:sz w:val="24"/>
                <w:szCs w:val="24"/>
                <w:vertAlign w:val="baseline"/>
                <w:lang w:val="en-US" w:eastAsia="zh-CN"/>
              </w:rPr>
            </w:pPr>
            <w:r>
              <w:rPr>
                <w:rFonts w:ascii="方正黑体_GBK" w:eastAsia="方正黑体_GBK" w:cs="方正黑体_GBK" w:hint="eastAsia"/>
                <w:sz w:val="24"/>
                <w:szCs w:val="24"/>
                <w:vertAlign w:val="baseline"/>
                <w:lang w:val="en-US" w:eastAsia="zh-CN"/>
              </w:rPr>
              <w:t>序号</w:t>
            </w:r>
          </w:p>
        </w:tc>
        <w:tc>
          <w:tcPr>
            <w:tcW w:w="1728" w:type="dxa"/>
            <w:tcBorders>
              <w:top w:val="single" w:sz="4" w:space="0" w:color="auto"/>
              <w:left w:val="single" w:sz="4" w:space="0" w:color="auto"/>
              <w:bottom w:val="single" w:sz="4" w:space="0" w:color="auto"/>
              <w:right w:val="single" w:sz="4" w:space="0" w:color="auto"/>
            </w:tcBorders>
            <w:noWrap/>
          </w:tcPr>
          <w:p>
            <w:pPr>
              <w:jc w:val="center"/>
              <w:rPr>
                <w:rFonts w:ascii="方正黑体_GBK" w:eastAsia="方正黑体_GBK" w:cs="方正黑体_GBK"/>
                <w:sz w:val="24"/>
                <w:szCs w:val="24"/>
                <w:vertAlign w:val="baseline"/>
                <w:lang w:val="en-US" w:eastAsia="zh-CN"/>
              </w:rPr>
            </w:pPr>
            <w:r>
              <w:rPr>
                <w:rFonts w:ascii="方正黑体_GBK" w:eastAsia="方正黑体_GBK" w:cs="方正黑体_GBK" w:hint="eastAsia"/>
                <w:sz w:val="24"/>
                <w:szCs w:val="24"/>
                <w:vertAlign w:val="baseline"/>
                <w:lang w:val="en-US" w:eastAsia="zh-CN"/>
              </w:rPr>
              <w:t>行政检查事项</w:t>
            </w:r>
          </w:p>
        </w:tc>
        <w:tc>
          <w:tcPr>
            <w:tcW w:w="6255" w:type="dxa"/>
            <w:gridSpan w:val="2"/>
            <w:tcBorders>
              <w:top w:val="single" w:sz="4" w:space="0" w:color="auto"/>
              <w:left w:val="single" w:sz="4" w:space="0" w:color="auto"/>
              <w:bottom w:val="single" w:sz="4" w:space="0" w:color="auto"/>
              <w:right w:val="single" w:sz="4" w:space="0" w:color="auto"/>
            </w:tcBorders>
            <w:noWrap/>
          </w:tcPr>
          <w:p>
            <w:pPr>
              <w:jc w:val="center"/>
              <w:rPr>
                <w:rFonts w:ascii="方正黑体_GBK" w:eastAsia="方正黑体_GBK" w:cs="方正黑体_GBK"/>
                <w:sz w:val="24"/>
                <w:szCs w:val="24"/>
                <w:vertAlign w:val="baseline"/>
                <w:lang w:val="en-US" w:eastAsia="zh-CN"/>
              </w:rPr>
            </w:pPr>
            <w:r>
              <w:rPr>
                <w:rFonts w:ascii="方正黑体_GBK" w:eastAsia="方正黑体_GBK" w:cs="方正黑体_GBK" w:hint="eastAsia"/>
                <w:sz w:val="24"/>
                <w:szCs w:val="24"/>
                <w:vertAlign w:val="baseline"/>
                <w:lang w:val="en-US" w:eastAsia="zh-CN"/>
              </w:rPr>
              <w:t>行政检查依据</w:t>
            </w:r>
          </w:p>
        </w:tc>
        <w:tc>
          <w:tcPr>
            <w:tcW w:w="1559" w:type="dxa"/>
            <w:tcBorders>
              <w:top w:val="single" w:sz="4" w:space="0" w:color="auto"/>
              <w:left w:val="single" w:sz="4" w:space="0" w:color="auto"/>
              <w:bottom w:val="single" w:sz="4" w:space="0" w:color="auto"/>
              <w:right w:val="single" w:sz="4" w:space="0" w:color="auto"/>
            </w:tcBorders>
            <w:noWrap/>
          </w:tcPr>
          <w:p>
            <w:pPr>
              <w:jc w:val="center"/>
              <w:rPr>
                <w:rFonts w:ascii="方正黑体_GBK" w:eastAsia="方正黑体_GBK" w:cs="方正黑体_GBK"/>
                <w:sz w:val="24"/>
                <w:szCs w:val="24"/>
                <w:vertAlign w:val="baseline"/>
                <w:lang w:val="en-US" w:eastAsia="zh-CN"/>
              </w:rPr>
            </w:pPr>
            <w:r>
              <w:rPr>
                <w:rFonts w:ascii="方正黑体_GBK" w:eastAsia="方正黑体_GBK" w:cs="方正黑体_GBK" w:hint="eastAsia"/>
                <w:sz w:val="24"/>
                <w:szCs w:val="24"/>
                <w:vertAlign w:val="baseline"/>
                <w:lang w:val="en-US" w:eastAsia="zh-CN"/>
              </w:rPr>
              <w:t>实施主体</w:t>
            </w:r>
          </w:p>
        </w:tc>
        <w:tc>
          <w:tcPr>
            <w:tcW w:w="1459" w:type="dxa"/>
            <w:tcBorders>
              <w:top w:val="single" w:sz="4" w:space="0" w:color="auto"/>
              <w:left w:val="single" w:sz="4" w:space="0" w:color="auto"/>
              <w:bottom w:val="single" w:sz="4" w:space="0" w:color="auto"/>
              <w:right w:val="single" w:sz="4" w:space="0" w:color="auto"/>
            </w:tcBorders>
            <w:noWrap/>
          </w:tcPr>
          <w:p>
            <w:pPr>
              <w:jc w:val="center"/>
              <w:rPr>
                <w:rFonts w:ascii="方正黑体_GBK" w:eastAsia="方正黑体_GBK" w:cs="方正黑体_GBK"/>
                <w:sz w:val="24"/>
                <w:szCs w:val="24"/>
                <w:vertAlign w:val="baseline"/>
                <w:lang w:val="en-US" w:eastAsia="zh-CN"/>
              </w:rPr>
            </w:pPr>
            <w:r>
              <w:rPr>
                <w:rFonts w:ascii="方正黑体_GBK" w:eastAsia="方正黑体_GBK" w:cs="方正黑体_GBK" w:hint="eastAsia"/>
                <w:sz w:val="24"/>
                <w:szCs w:val="24"/>
                <w:vertAlign w:val="baseline"/>
                <w:lang w:val="en-US" w:eastAsia="zh-CN"/>
              </w:rPr>
              <w:t>检查对象</w:t>
            </w:r>
          </w:p>
        </w:tc>
        <w:tc>
          <w:tcPr>
            <w:tcW w:w="1620" w:type="dxa"/>
            <w:tcBorders>
              <w:top w:val="single" w:sz="4" w:space="0" w:color="auto"/>
              <w:left w:val="single" w:sz="4" w:space="0" w:color="auto"/>
              <w:bottom w:val="single" w:sz="4" w:space="0" w:color="auto"/>
              <w:right w:val="single" w:sz="4" w:space="0" w:color="auto"/>
            </w:tcBorders>
            <w:noWrap/>
          </w:tcPr>
          <w:p>
            <w:pPr>
              <w:jc w:val="center"/>
              <w:rPr>
                <w:rFonts w:ascii="方正黑体_GBK" w:eastAsia="方正黑体_GBK" w:cs="方正黑体_GBK"/>
                <w:sz w:val="24"/>
                <w:szCs w:val="24"/>
                <w:vertAlign w:val="baseline"/>
                <w:lang w:val="en-US" w:eastAsia="zh-CN"/>
              </w:rPr>
            </w:pPr>
            <w:r>
              <w:rPr>
                <w:rFonts w:ascii="方正黑体_GBK" w:eastAsia="方正黑体_GBK" w:cs="方正黑体_GBK" w:hint="eastAsia"/>
                <w:sz w:val="24"/>
                <w:szCs w:val="24"/>
                <w:vertAlign w:val="baseline"/>
                <w:lang w:val="en-US" w:eastAsia="zh-CN"/>
              </w:rPr>
              <w:t>检查标准</w:t>
            </w:r>
          </w:p>
        </w:tc>
        <w:tc>
          <w:tcPr>
            <w:tcW w:w="1256" w:type="dxa"/>
            <w:tcBorders>
              <w:top w:val="single" w:sz="4" w:space="0" w:color="auto"/>
              <w:left w:val="single" w:sz="4" w:space="0" w:color="auto"/>
              <w:bottom w:val="single" w:sz="4" w:space="0" w:color="auto"/>
              <w:right w:val="single" w:sz="4" w:space="0" w:color="auto"/>
            </w:tcBorders>
            <w:noWrap/>
          </w:tcPr>
          <w:p>
            <w:pPr>
              <w:jc w:val="center"/>
              <w:rPr>
                <w:rFonts w:ascii="方正黑体_GBK" w:eastAsia="方正黑体_GBK" w:cs="方正黑体_GBK"/>
                <w:sz w:val="24"/>
                <w:szCs w:val="24"/>
                <w:vertAlign w:val="baseline"/>
                <w:lang w:val="en-US" w:eastAsia="zh-CN"/>
              </w:rPr>
            </w:pPr>
            <w:r>
              <w:rPr>
                <w:rFonts w:ascii="方正黑体_GBK" w:eastAsia="方正黑体_GBK" w:cs="方正黑体_GBK" w:hint="eastAsia"/>
                <w:sz w:val="24"/>
                <w:szCs w:val="24"/>
                <w:vertAlign w:val="baseline"/>
                <w:lang w:val="en-US" w:eastAsia="zh-CN"/>
              </w:rPr>
              <w:t>检查方式</w:t>
            </w:r>
          </w:p>
        </w:tc>
      </w:tr>
      <w:tr>
        <w:trPr>
          <w:trHeight w:val="3893"/>
        </w:trPr>
        <w:tc>
          <w:tcPr>
            <w:tcW w:w="873" w:type="dxa"/>
            <w:tcBorders>
              <w:top w:val="single" w:sz="4" w:space="0" w:color="auto"/>
              <w:left w:val="single" w:sz="4" w:space="0" w:color="auto"/>
              <w:bottom w:val="single" w:sz="4" w:space="0" w:color="auto"/>
              <w:right w:val="single" w:sz="4" w:space="0" w:color="auto"/>
            </w:tcBorders>
            <w:noWrap/>
            <w:vAlign w:val="center"/>
          </w:tcPr>
          <w:p>
            <w:pPr>
              <w:jc w:val="center"/>
              <w:rPr>
                <w:rFonts w:eastAsia="仿宋_GB2312" w:hint="eastAsia"/>
                <w:sz w:val="24"/>
                <w:szCs w:val="24"/>
                <w:vertAlign w:val="baseline"/>
                <w:lang w:val="en-US" w:eastAsia="zh-CN"/>
              </w:rPr>
            </w:pPr>
            <w:r>
              <w:rPr>
                <w:rFonts w:hint="eastAsia"/>
                <w:sz w:val="24"/>
                <w:szCs w:val="24"/>
                <w:vertAlign w:val="baseline"/>
                <w:lang w:val="en-US" w:eastAsia="zh-CN"/>
              </w:rPr>
              <w:t>1</w:t>
            </w:r>
          </w:p>
        </w:tc>
        <w:tc>
          <w:tcPr>
            <w:tcW w:w="172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eastAsia="仿宋_GB2312"/>
                <w:sz w:val="24"/>
                <w:szCs w:val="24"/>
                <w:vertAlign w:val="baseline"/>
                <w:lang w:val="en-US" w:eastAsia="zh-CN"/>
              </w:rPr>
            </w:pPr>
            <w:r>
              <w:rPr>
                <w:rFonts w:hint="eastAsia"/>
                <w:sz w:val="24"/>
                <w:szCs w:val="24"/>
                <w:vertAlign w:val="baseline"/>
                <w:lang w:val="en-US" w:eastAsia="zh-CN"/>
              </w:rPr>
              <w:t>对建设项目参建主体执行建设工程质量</w:t>
            </w:r>
            <w:r>
              <w:rPr>
                <w:rFonts w:hint="eastAsia"/>
                <w:sz w:val="24"/>
                <w:szCs w:val="24"/>
                <w:vertAlign w:val="baseline"/>
              </w:rPr>
              <w:t>的法律、法规和强制性标准情况的检查</w:t>
            </w:r>
          </w:p>
        </w:tc>
        <w:tc>
          <w:tcPr>
            <w:tcW w:w="109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eastAsia="仿宋_GB2312" w:hint="eastAsia"/>
                <w:sz w:val="24"/>
                <w:szCs w:val="24"/>
                <w:vertAlign w:val="baseline"/>
                <w:lang w:eastAsia="zh-CN"/>
              </w:rPr>
            </w:pPr>
            <w:r>
              <w:rPr>
                <w:rFonts w:hint="eastAsia"/>
                <w:sz w:val="24"/>
                <w:szCs w:val="24"/>
                <w:vertAlign w:val="baseline"/>
                <w:lang w:eastAsia="zh-CN"/>
              </w:rPr>
              <w:t>《建设工程质量管理条例》</w:t>
            </w:r>
          </w:p>
        </w:tc>
        <w:tc>
          <w:tcPr>
            <w:tcW w:w="515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vertAlign w:val="baseline"/>
              </w:rPr>
            </w:pPr>
            <w:r>
              <w:rPr>
                <w:rFonts w:hint="eastAsia"/>
                <w:sz w:val="24"/>
                <w:szCs w:val="24"/>
                <w:vertAlign w:val="baseline"/>
              </w:rPr>
              <w:t>第四条　县级以上人民政府建设行政主管部门和其他有关部门应当加强对建设工程质量的监督管理。</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vertAlign w:val="baseline"/>
              </w:rPr>
            </w:pPr>
            <w:r>
              <w:rPr>
                <w:rFonts w:hint="eastAsia"/>
                <w:sz w:val="24"/>
                <w:szCs w:val="24"/>
                <w:vertAlign w:val="baseline"/>
              </w:rPr>
              <w:t>第四十七条　县级以上地方人民政府建设行政主管部门和其他有关部门应当加强对有关建设工程质量的法律、法规和强制性标准执行情况的监督检查。</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vertAlign w:val="baseline"/>
              </w:rPr>
            </w:pPr>
            <w:r>
              <w:rPr>
                <w:rFonts w:hint="eastAsia"/>
                <w:sz w:val="24"/>
                <w:szCs w:val="24"/>
                <w:vertAlign w:val="baseline"/>
              </w:rPr>
              <w:t>第四十八条　县级以上人民政府建设行政主管部门和其他有关部门履行监督检查职责时，有权采取下列措施：</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vertAlign w:val="baseline"/>
              </w:rPr>
            </w:pPr>
            <w:r>
              <w:rPr>
                <w:rFonts w:hint="eastAsia"/>
                <w:sz w:val="24"/>
                <w:szCs w:val="24"/>
                <w:vertAlign w:val="baseline"/>
              </w:rPr>
              <w:t>(一)要求被检查的单位提供有关工程质量的文件和资料；</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vertAlign w:val="baseline"/>
              </w:rPr>
            </w:pPr>
            <w:r>
              <w:rPr>
                <w:rFonts w:hint="eastAsia"/>
                <w:sz w:val="24"/>
                <w:szCs w:val="24"/>
                <w:vertAlign w:val="baseline"/>
              </w:rPr>
              <w:t>(二)进入被检查单位的施工现场进行检查；</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vertAlign w:val="baseline"/>
              </w:rPr>
            </w:pPr>
            <w:r>
              <w:rPr>
                <w:rFonts w:hint="eastAsia"/>
                <w:sz w:val="24"/>
                <w:szCs w:val="24"/>
                <w:vertAlign w:val="baseline"/>
              </w:rPr>
              <w:t>(三)发现有影响工程质量的问题时，责令改正。</w:t>
            </w:r>
          </w:p>
        </w:tc>
        <w:tc>
          <w:tcPr>
            <w:tcW w:w="155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sz w:val="24"/>
                <w:szCs w:val="24"/>
                <w:vertAlign w:val="baseline"/>
                <w:lang w:val="en-US" w:eastAsia="zh-CN"/>
              </w:rPr>
            </w:pPr>
            <w:r>
              <w:rPr>
                <w:rFonts w:hint="eastAsia"/>
                <w:sz w:val="24"/>
                <w:szCs w:val="24"/>
                <w:vertAlign w:val="baseline"/>
                <w:lang w:val="en-US" w:eastAsia="zh-CN"/>
              </w:rPr>
              <w:t>宿城区住房和城乡建设局</w:t>
            </w:r>
          </w:p>
        </w:tc>
        <w:tc>
          <w:tcPr>
            <w:tcW w:w="145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eastAsia="仿宋_GB2312"/>
                <w:sz w:val="24"/>
                <w:szCs w:val="24"/>
                <w:vertAlign w:val="baseline"/>
                <w:lang w:val="en-US" w:eastAsia="zh-CN"/>
              </w:rPr>
            </w:pPr>
            <w:r>
              <w:rPr>
                <w:rFonts w:hint="eastAsia"/>
                <w:sz w:val="24"/>
                <w:szCs w:val="24"/>
                <w:vertAlign w:val="baseline"/>
                <w:lang w:val="en-US" w:eastAsia="zh-CN"/>
              </w:rPr>
              <w:t>建设项目各参建主体</w:t>
            </w:r>
          </w:p>
        </w:tc>
        <w:tc>
          <w:tcPr>
            <w:tcW w:w="162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eastAsia="仿宋_GB2312"/>
                <w:sz w:val="24"/>
                <w:szCs w:val="24"/>
                <w:vertAlign w:val="baseline"/>
                <w:lang w:val="en-US" w:eastAsia="zh-CN"/>
              </w:rPr>
            </w:pPr>
            <w:r>
              <w:rPr>
                <w:rFonts w:hint="eastAsia"/>
                <w:sz w:val="24"/>
                <w:szCs w:val="24"/>
                <w:vertAlign w:val="baseline"/>
                <w:lang w:val="en-US" w:eastAsia="zh-CN"/>
              </w:rPr>
              <w:t>未有违反建设工程质量</w:t>
            </w:r>
            <w:r>
              <w:rPr>
                <w:rFonts w:hint="eastAsia"/>
                <w:sz w:val="24"/>
                <w:szCs w:val="24"/>
                <w:vertAlign w:val="baseline"/>
              </w:rPr>
              <w:t>的法律、法规和强制性标准</w:t>
            </w:r>
            <w:r>
              <w:rPr>
                <w:rFonts w:hint="eastAsia"/>
                <w:sz w:val="24"/>
                <w:szCs w:val="24"/>
                <w:vertAlign w:val="baseline"/>
                <w:lang w:val="en-US" w:eastAsia="zh-CN"/>
              </w:rPr>
              <w:t>的情形</w:t>
            </w:r>
          </w:p>
        </w:tc>
        <w:tc>
          <w:tcPr>
            <w:tcW w:w="125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现场检查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vertAlign w:val="baseline"/>
                <w:lang w:val="en-US" w:eastAsia="zh-CN"/>
              </w:rPr>
            </w:pPr>
            <w:r>
              <w:rPr>
                <w:rFonts w:hint="eastAsia"/>
                <w:sz w:val="24"/>
                <w:szCs w:val="24"/>
                <w:vertAlign w:val="baseline"/>
                <w:lang w:val="en-US" w:eastAsia="zh-CN"/>
              </w:rPr>
              <w:t>书</w:t>
            </w:r>
            <w:bookmarkStart w:id="0" w:name="_GoBack"/>
            <w:bookmarkEnd w:id="0"/>
            <w:r>
              <w:rPr>
                <w:rFonts w:hint="eastAsia"/>
                <w:sz w:val="24"/>
                <w:szCs w:val="24"/>
                <w:vertAlign w:val="baseline"/>
                <w:lang w:val="en-US" w:eastAsia="zh-CN"/>
              </w:rPr>
              <w:t>面检查</w:t>
            </w:r>
          </w:p>
        </w:tc>
      </w:tr>
      <w:tr>
        <w:trPr>
          <w:trHeight w:val="1965"/>
        </w:trPr>
        <w:tc>
          <w:tcPr>
            <w:tcW w:w="873" w:type="dxa"/>
            <w:tcBorders>
              <w:top w:val="single" w:sz="4" w:space="0" w:color="auto"/>
              <w:left w:val="single" w:sz="4" w:space="0" w:color="auto"/>
              <w:bottom w:val="single" w:sz="4" w:space="0" w:color="auto"/>
              <w:right w:val="single" w:sz="4" w:space="0" w:color="auto"/>
            </w:tcBorders>
            <w:noWrap/>
            <w:vAlign w:val="center"/>
          </w:tcPr>
          <w:p>
            <w:pPr>
              <w:jc w:val="center"/>
              <w:rPr>
                <w:rFonts w:eastAsia="仿宋_GB2312" w:hint="eastAsia"/>
                <w:sz w:val="24"/>
                <w:szCs w:val="24"/>
                <w:vertAlign w:val="baseline"/>
                <w:lang w:val="en-US" w:eastAsia="zh-CN"/>
              </w:rPr>
            </w:pPr>
            <w:r>
              <w:rPr>
                <w:rFonts w:hint="eastAsia"/>
                <w:sz w:val="24"/>
                <w:szCs w:val="24"/>
                <w:vertAlign w:val="baseline"/>
                <w:lang w:val="en-US" w:eastAsia="zh-CN"/>
              </w:rPr>
              <w:t>2</w:t>
            </w:r>
          </w:p>
        </w:tc>
        <w:tc>
          <w:tcPr>
            <w:tcW w:w="172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sz w:val="24"/>
                <w:szCs w:val="24"/>
                <w:vertAlign w:val="baseline"/>
              </w:rPr>
            </w:pPr>
            <w:r>
              <w:rPr>
                <w:rFonts w:hint="eastAsia"/>
                <w:sz w:val="24"/>
                <w:szCs w:val="24"/>
                <w:vertAlign w:val="baseline"/>
                <w:lang w:val="en-US" w:eastAsia="zh-CN"/>
              </w:rPr>
              <w:t>对建设项目参建主体</w:t>
            </w:r>
            <w:r>
              <w:rPr>
                <w:rFonts w:hint="eastAsia"/>
                <w:sz w:val="24"/>
                <w:szCs w:val="24"/>
                <w:vertAlign w:val="baseline"/>
              </w:rPr>
              <w:t>安全生产</w:t>
            </w:r>
            <w:r>
              <w:rPr>
                <w:rFonts w:hint="eastAsia"/>
                <w:sz w:val="24"/>
                <w:szCs w:val="24"/>
                <w:vertAlign w:val="baseline"/>
                <w:lang w:val="en-US" w:eastAsia="zh-CN"/>
              </w:rPr>
              <w:t>情况的检查</w:t>
            </w:r>
          </w:p>
        </w:tc>
        <w:tc>
          <w:tcPr>
            <w:tcW w:w="109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eastAsia="仿宋_GB2312" w:hint="eastAsia"/>
                <w:sz w:val="24"/>
                <w:szCs w:val="24"/>
                <w:vertAlign w:val="baseline"/>
                <w:lang w:eastAsia="zh-CN"/>
              </w:rPr>
            </w:pPr>
            <w:r>
              <w:rPr>
                <w:rFonts w:hint="eastAsia"/>
                <w:sz w:val="24"/>
                <w:szCs w:val="24"/>
                <w:vertAlign w:val="baseline"/>
                <w:lang w:eastAsia="zh-CN"/>
              </w:rPr>
              <w:t>《建设工程安全生产管理条例》</w:t>
            </w:r>
          </w:p>
        </w:tc>
        <w:tc>
          <w:tcPr>
            <w:tcW w:w="515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vertAlign w:val="baseline"/>
              </w:rPr>
            </w:pPr>
            <w:r>
              <w:rPr>
                <w:rFonts w:hint="eastAsia"/>
                <w:sz w:val="24"/>
                <w:szCs w:val="24"/>
                <w:vertAlign w:val="baseline"/>
              </w:rPr>
              <w:t>第四十条　县级以上地方人民政府建设行政主管部门对本行政区域内的建设工程安全生产实施监督管理。县级以上地方人民政府交通、水利等有关部门在各自的职责范围内，负责本行政区域内的专业建设工程安全生产的监督管理。</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vertAlign w:val="baseline"/>
              </w:rPr>
            </w:pPr>
            <w:r>
              <w:rPr>
                <w:rFonts w:hint="eastAsia"/>
                <w:sz w:val="24"/>
                <w:szCs w:val="24"/>
                <w:vertAlign w:val="baseline"/>
              </w:rPr>
              <w:t>第四十三条　县级以上人民政府负有建设工程安全生产监督管理职责的部门在各自的职责范围内履行安全监督检查职责时，有权采取下列措施：</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vertAlign w:val="baseline"/>
              </w:rPr>
            </w:pPr>
            <w:r>
              <w:rPr>
                <w:rFonts w:hint="eastAsia"/>
                <w:sz w:val="24"/>
                <w:szCs w:val="24"/>
                <w:vertAlign w:val="baseline"/>
              </w:rPr>
              <w:t>(一)要求被检查单位提供有关建设工程安全生产的文件和资料；</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vertAlign w:val="baseline"/>
              </w:rPr>
            </w:pPr>
            <w:r>
              <w:rPr>
                <w:rFonts w:hint="eastAsia"/>
                <w:sz w:val="24"/>
                <w:szCs w:val="24"/>
                <w:vertAlign w:val="baseline"/>
              </w:rPr>
              <w:t>(二)进入被检查单位施工现场进行检查；</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vertAlign w:val="baseline"/>
              </w:rPr>
            </w:pPr>
            <w:r>
              <w:rPr>
                <w:rFonts w:hint="eastAsia"/>
                <w:sz w:val="24"/>
                <w:szCs w:val="24"/>
                <w:vertAlign w:val="baseline"/>
              </w:rPr>
              <w:t>(三)纠正施工中违反安全生产要求的行为；</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vertAlign w:val="baseline"/>
              </w:rPr>
            </w:pPr>
            <w:r>
              <w:rPr>
                <w:rFonts w:hint="eastAsia"/>
                <w:sz w:val="24"/>
                <w:szCs w:val="24"/>
                <w:vertAlign w:val="baseline"/>
              </w:rPr>
              <w:t>(四)对检查中发现的安全事故隐患，责令立即排除；重大安全事故隐患排除前或者排除过程中无法保证安全的，责令从危险区域内撤出作业人员或者暂时停止施工。</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vertAlign w:val="baseline"/>
              </w:rPr>
            </w:pPr>
            <w:r>
              <w:rPr>
                <w:rFonts w:hint="eastAsia"/>
                <w:sz w:val="24"/>
                <w:szCs w:val="24"/>
                <w:vertAlign w:val="baseline"/>
              </w:rPr>
              <w:t>第四十四条　建设行政主管部门或者其他有关部门可以将施工现场的监督检查委托给建设工程安全监督机构具体实施。</w:t>
            </w:r>
          </w:p>
        </w:tc>
        <w:tc>
          <w:tcPr>
            <w:tcW w:w="155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vertAlign w:val="baseline"/>
              </w:rPr>
            </w:pPr>
            <w:r>
              <w:rPr>
                <w:rFonts w:hint="eastAsia"/>
                <w:sz w:val="24"/>
                <w:szCs w:val="24"/>
                <w:vertAlign w:val="baseline"/>
                <w:lang w:val="en-US" w:eastAsia="zh-CN"/>
              </w:rPr>
              <w:t>宿城区住房和城乡建设局</w:t>
            </w:r>
          </w:p>
        </w:tc>
        <w:tc>
          <w:tcPr>
            <w:tcW w:w="145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vertAlign w:val="baseline"/>
              </w:rPr>
            </w:pPr>
            <w:r>
              <w:rPr>
                <w:rFonts w:hint="eastAsia"/>
                <w:sz w:val="24"/>
                <w:szCs w:val="24"/>
                <w:vertAlign w:val="baseline"/>
                <w:lang w:val="en-US" w:eastAsia="zh-CN"/>
              </w:rPr>
              <w:t>建设项目各参建主体</w:t>
            </w:r>
          </w:p>
        </w:tc>
        <w:tc>
          <w:tcPr>
            <w:tcW w:w="162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sz w:val="24"/>
                <w:szCs w:val="24"/>
                <w:vertAlign w:val="baseline"/>
              </w:rPr>
            </w:pPr>
            <w:r>
              <w:rPr>
                <w:rFonts w:hint="eastAsia"/>
                <w:sz w:val="24"/>
                <w:szCs w:val="24"/>
                <w:vertAlign w:val="baseline"/>
                <w:lang w:val="en-US" w:eastAsia="zh-CN"/>
              </w:rPr>
              <w:t>未有违反建设工程安全管理</w:t>
            </w:r>
            <w:r>
              <w:rPr>
                <w:rFonts w:hint="eastAsia"/>
                <w:sz w:val="24"/>
                <w:szCs w:val="24"/>
                <w:vertAlign w:val="baseline"/>
              </w:rPr>
              <w:t>法律、法规和强制性标准</w:t>
            </w:r>
            <w:r>
              <w:rPr>
                <w:rFonts w:hint="eastAsia"/>
                <w:sz w:val="24"/>
                <w:szCs w:val="24"/>
                <w:vertAlign w:val="baseline"/>
                <w:lang w:val="en-US" w:eastAsia="zh-CN"/>
              </w:rPr>
              <w:t>的情形</w:t>
            </w:r>
          </w:p>
        </w:tc>
        <w:tc>
          <w:tcPr>
            <w:tcW w:w="125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现场检查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vertAlign w:val="baseline"/>
                <w:lang w:val="en-US" w:eastAsia="zh-CN"/>
              </w:rPr>
            </w:pPr>
            <w:r>
              <w:rPr>
                <w:rFonts w:hint="eastAsia"/>
                <w:sz w:val="24"/>
                <w:szCs w:val="24"/>
                <w:vertAlign w:val="baseline"/>
                <w:lang w:val="en-US" w:eastAsia="zh-CN"/>
              </w:rPr>
              <w:t>书面检查</w:t>
            </w:r>
          </w:p>
        </w:tc>
      </w:tr>
      <w:tr>
        <w:trPr>
          <w:trHeight w:val="2537"/>
        </w:trPr>
        <w:tc>
          <w:tcPr>
            <w:tcW w:w="873" w:type="dxa"/>
            <w:tcBorders>
              <w:top w:val="single" w:sz="4" w:space="0" w:color="auto"/>
              <w:left w:val="single" w:sz="4" w:space="0" w:color="auto"/>
              <w:bottom w:val="single" w:sz="4" w:space="0" w:color="auto"/>
              <w:right w:val="single" w:sz="4" w:space="0" w:color="auto"/>
            </w:tcBorders>
            <w:noWrap/>
            <w:vAlign w:val="center"/>
          </w:tcPr>
          <w:p>
            <w:pPr>
              <w:jc w:val="center"/>
              <w:rPr>
                <w:rFonts w:eastAsia="仿宋_GB2312" w:hint="eastAsia"/>
                <w:sz w:val="24"/>
                <w:szCs w:val="24"/>
                <w:vertAlign w:val="baseline"/>
                <w:lang w:val="en-US" w:eastAsia="zh-CN"/>
              </w:rPr>
            </w:pPr>
            <w:r>
              <w:rPr>
                <w:rFonts w:hint="eastAsia"/>
                <w:sz w:val="24"/>
                <w:szCs w:val="24"/>
                <w:vertAlign w:val="baseline"/>
                <w:lang w:val="en-US" w:eastAsia="zh-CN"/>
              </w:rPr>
              <w:t>3</w:t>
            </w:r>
          </w:p>
        </w:tc>
        <w:tc>
          <w:tcPr>
            <w:tcW w:w="172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eastAsia="仿宋_GB2312"/>
                <w:sz w:val="24"/>
                <w:szCs w:val="24"/>
                <w:vertAlign w:val="baseline"/>
                <w:lang w:val="en-US" w:eastAsia="zh-CN"/>
              </w:rPr>
            </w:pPr>
            <w:r>
              <w:rPr>
                <w:rFonts w:hint="eastAsia"/>
                <w:sz w:val="24"/>
                <w:szCs w:val="24"/>
                <w:vertAlign w:val="baseline"/>
                <w:lang w:val="en-US" w:eastAsia="zh-CN"/>
              </w:rPr>
              <w:t>对建设项目农民工工资保障情况的检查</w:t>
            </w:r>
          </w:p>
        </w:tc>
        <w:tc>
          <w:tcPr>
            <w:tcW w:w="109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eastAsia="仿宋_GB2312" w:hint="eastAsia"/>
                <w:sz w:val="24"/>
                <w:szCs w:val="24"/>
                <w:vertAlign w:val="baseline"/>
                <w:lang w:eastAsia="zh-CN"/>
              </w:rPr>
            </w:pPr>
            <w:r>
              <w:rPr>
                <w:rFonts w:hint="eastAsia"/>
                <w:sz w:val="24"/>
                <w:szCs w:val="24"/>
                <w:vertAlign w:val="baseline"/>
                <w:lang w:eastAsia="zh-CN"/>
              </w:rPr>
              <w:t>《保障农民工工资支付条例》</w:t>
            </w:r>
          </w:p>
        </w:tc>
        <w:tc>
          <w:tcPr>
            <w:tcW w:w="515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sz w:val="24"/>
                <w:szCs w:val="24"/>
                <w:vertAlign w:val="baseline"/>
              </w:rPr>
            </w:pPr>
            <w:r>
              <w:rPr>
                <w:rFonts w:hint="eastAsia"/>
                <w:sz w:val="24"/>
                <w:szCs w:val="24"/>
                <w:vertAlign w:val="baseline"/>
              </w:rPr>
              <w:t>第三十九条　人力资源社会保障行政部门、相关行业工程建设主管部门和其他有关部门应当按照职责，加强对用人单位与农民工签订劳动合同、工资支付以及工程建设项目实行农民工实名制管理、农民工工资专用账户管理、施工总承包单位代发工资、工资保证金存储、维权信息公示等情况的监督检查，预防和减少拖欠农民工工资行为的发生。</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Times New Roman" w:eastAsia="仿宋_GB2312" w:cs="Arial" w:hAnsi="Times New Roman" w:hint="eastAsia"/>
                <w:kern w:val="2"/>
                <w:sz w:val="24"/>
                <w:szCs w:val="24"/>
                <w:vertAlign w:val="baseline"/>
                <w:lang w:val="en-US" w:eastAsia="zh-CN" w:bidi="ar-SA"/>
              </w:rPr>
            </w:pPr>
            <w:r>
              <w:rPr>
                <w:rFonts w:hint="eastAsia"/>
                <w:sz w:val="24"/>
                <w:szCs w:val="24"/>
                <w:vertAlign w:val="baseline"/>
                <w:lang w:val="en-US" w:eastAsia="zh-CN"/>
              </w:rPr>
              <w:t>宿城区住房和城乡建设局</w:t>
            </w:r>
          </w:p>
        </w:tc>
        <w:tc>
          <w:tcPr>
            <w:tcW w:w="1459"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Times New Roman" w:eastAsia="仿宋_GB2312" w:cs="Arial" w:hAnsi="Times New Roman" w:hint="eastAsia"/>
                <w:kern w:val="2"/>
                <w:sz w:val="24"/>
                <w:szCs w:val="24"/>
                <w:vertAlign w:val="baseline"/>
                <w:lang w:val="en-US" w:eastAsia="zh-CN" w:bidi="ar-SA"/>
              </w:rPr>
            </w:pPr>
            <w:r>
              <w:rPr>
                <w:rFonts w:hint="eastAsia"/>
                <w:sz w:val="24"/>
                <w:szCs w:val="24"/>
                <w:vertAlign w:val="baseline"/>
                <w:lang w:val="en-US" w:eastAsia="zh-CN"/>
              </w:rPr>
              <w:t>建设项目相关参建主体</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eastAsia="仿宋_GB2312" w:cs="Arial" w:hAnsi="Times New Roman" w:hint="eastAsia"/>
                <w:kern w:val="2"/>
                <w:sz w:val="24"/>
                <w:szCs w:val="24"/>
                <w:vertAlign w:val="baseline"/>
                <w:lang w:val="en-US" w:eastAsia="zh-CN" w:bidi="ar-SA"/>
              </w:rPr>
            </w:pPr>
            <w:r>
              <w:rPr>
                <w:rFonts w:hint="eastAsia"/>
                <w:sz w:val="24"/>
                <w:szCs w:val="24"/>
                <w:vertAlign w:val="baseline"/>
                <w:lang w:val="en-US" w:eastAsia="zh-CN"/>
              </w:rPr>
              <w:t>未有违反保障农民工工资支付方面</w:t>
            </w:r>
            <w:r>
              <w:rPr>
                <w:rFonts w:hint="eastAsia"/>
                <w:sz w:val="24"/>
                <w:szCs w:val="24"/>
                <w:vertAlign w:val="baseline"/>
              </w:rPr>
              <w:t>法律、法规</w:t>
            </w:r>
            <w:r>
              <w:rPr>
                <w:rFonts w:hint="eastAsia"/>
                <w:sz w:val="24"/>
                <w:szCs w:val="24"/>
                <w:vertAlign w:val="baseline"/>
                <w:lang w:val="en-US" w:eastAsia="zh-CN"/>
              </w:rPr>
              <w:t>的情形</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现场检查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eastAsia="仿宋_GB2312" w:cs="Arial" w:hAnsi="Times New Roman" w:hint="eastAsia"/>
                <w:kern w:val="2"/>
                <w:sz w:val="24"/>
                <w:szCs w:val="24"/>
                <w:vertAlign w:val="baseline"/>
                <w:lang w:val="en-US" w:eastAsia="zh-CN" w:bidi="ar-SA"/>
              </w:rPr>
            </w:pPr>
            <w:r>
              <w:rPr>
                <w:rFonts w:hint="eastAsia"/>
                <w:sz w:val="24"/>
                <w:szCs w:val="24"/>
                <w:vertAlign w:val="baseline"/>
                <w:lang w:val="en-US" w:eastAsia="zh-CN"/>
              </w:rPr>
              <w:t>书面检查</w:t>
            </w:r>
          </w:p>
        </w:tc>
      </w:tr>
      <w:tr>
        <w:trPr>
          <w:trHeight w:val="5030"/>
        </w:trPr>
        <w:tc>
          <w:tcPr>
            <w:tcW w:w="873" w:type="dxa"/>
            <w:tcBorders>
              <w:top w:val="single" w:sz="4" w:space="0" w:color="auto"/>
              <w:left w:val="single" w:sz="4" w:space="0" w:color="auto"/>
              <w:bottom w:val="single" w:sz="4" w:space="0" w:color="auto"/>
              <w:right w:val="single" w:sz="4" w:space="0" w:color="auto"/>
            </w:tcBorders>
            <w:noWrap/>
            <w:vAlign w:val="center"/>
          </w:tcPr>
          <w:p>
            <w:pPr>
              <w:jc w:val="center"/>
              <w:rPr>
                <w:sz w:val="24"/>
                <w:szCs w:val="24"/>
                <w:vertAlign w:val="baseline"/>
                <w:lang w:val="en-US" w:eastAsia="zh-CN"/>
              </w:rPr>
            </w:pPr>
            <w:r>
              <w:rPr>
                <w:rFonts w:hint="eastAsia"/>
                <w:sz w:val="24"/>
                <w:szCs w:val="24"/>
                <w:vertAlign w:val="baseline"/>
                <w:lang w:val="en-US" w:eastAsia="zh-CN"/>
              </w:rPr>
              <w:t>4</w:t>
            </w:r>
          </w:p>
        </w:tc>
        <w:tc>
          <w:tcPr>
            <w:tcW w:w="172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eastAsia="仿宋_GB2312"/>
                <w:sz w:val="24"/>
                <w:szCs w:val="24"/>
                <w:vertAlign w:val="baseline"/>
                <w:lang w:val="en-US" w:eastAsia="zh-CN"/>
              </w:rPr>
            </w:pPr>
            <w:r>
              <w:rPr>
                <w:rFonts w:hint="eastAsia"/>
                <w:sz w:val="24"/>
                <w:szCs w:val="24"/>
                <w:vertAlign w:val="baseline"/>
                <w:lang w:val="en-US" w:eastAsia="zh-CN"/>
              </w:rPr>
              <w:t>对建筑企业资质维护使用及市场行为的检查</w:t>
            </w:r>
          </w:p>
        </w:tc>
        <w:tc>
          <w:tcPr>
            <w:tcW w:w="109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sz w:val="24"/>
                <w:szCs w:val="24"/>
                <w:vertAlign w:val="baseline"/>
                <w:lang w:eastAsia="zh-CN"/>
              </w:rPr>
            </w:pPr>
            <w:r>
              <w:rPr>
                <w:rFonts w:hint="eastAsia"/>
                <w:sz w:val="24"/>
                <w:szCs w:val="24"/>
                <w:vertAlign w:val="baseline"/>
                <w:lang w:eastAsia="zh-CN"/>
              </w:rPr>
              <w:t>《建筑业企业资质管理规定》</w:t>
            </w:r>
          </w:p>
        </w:tc>
        <w:tc>
          <w:tcPr>
            <w:tcW w:w="515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vertAlign w:val="baseline"/>
              </w:rPr>
            </w:pPr>
            <w:r>
              <w:rPr>
                <w:rFonts w:hint="eastAsia"/>
                <w:sz w:val="24"/>
                <w:szCs w:val="24"/>
                <w:vertAlign w:val="baseline"/>
              </w:rPr>
              <w:t>第二十四条　县级以上人民政府住房城乡建设主管部门和其他有关部门应当依照有关法律、法规和本规定，加强对企业取得建筑业企业资质后是否满足资质标准和市场行为的监督管理。</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vertAlign w:val="baseline"/>
              </w:rPr>
            </w:pPr>
            <w:r>
              <w:rPr>
                <w:rFonts w:hint="eastAsia"/>
                <w:sz w:val="24"/>
                <w:szCs w:val="24"/>
                <w:vertAlign w:val="baseline"/>
              </w:rPr>
              <w:t>第二十五条　住房城乡建设主管部门、其他有关部门的监督检查人员履行监督检查职责时，有权采取下列措施：</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vertAlign w:val="baseline"/>
              </w:rPr>
            </w:pPr>
            <w:r>
              <w:rPr>
                <w:rFonts w:hint="eastAsia"/>
                <w:sz w:val="24"/>
                <w:szCs w:val="24"/>
                <w:vertAlign w:val="baseline"/>
              </w:rPr>
              <w:t>　　（一）要求被检查企业提供建筑业企业资质证书、企业有关人员的注册执业证书、职称证书、岗位证书和考核或者培训合格证书，有关施工业务的文档，有关质量管理、安全生产管理、合同管理、档案管理、财务管理等企业内部管理制度的文件；</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vertAlign w:val="baseline"/>
              </w:rPr>
            </w:pPr>
            <w:r>
              <w:rPr>
                <w:rFonts w:hint="eastAsia"/>
                <w:sz w:val="24"/>
                <w:szCs w:val="24"/>
                <w:vertAlign w:val="baseline"/>
              </w:rPr>
              <w:t>　　（二）进入被检查企业进行检查，查阅相关资料；</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vertAlign w:val="baseline"/>
              </w:rPr>
            </w:pPr>
            <w:r>
              <w:rPr>
                <w:rFonts w:hint="eastAsia"/>
                <w:sz w:val="24"/>
                <w:szCs w:val="24"/>
                <w:vertAlign w:val="baseline"/>
              </w:rPr>
              <w:t>　　（三）纠正违反有关法律、法规和本规定及有关规范和标准的行为。</w:t>
            </w:r>
          </w:p>
        </w:tc>
        <w:tc>
          <w:tcPr>
            <w:tcW w:w="155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vertAlign w:val="baseline"/>
              </w:rPr>
            </w:pPr>
            <w:r>
              <w:rPr>
                <w:rFonts w:hint="eastAsia"/>
                <w:sz w:val="24"/>
                <w:szCs w:val="24"/>
                <w:vertAlign w:val="baseline"/>
                <w:lang w:val="en-US" w:eastAsia="zh-CN"/>
              </w:rPr>
              <w:t>宿城区住房和城乡建设局</w:t>
            </w:r>
          </w:p>
        </w:tc>
        <w:tc>
          <w:tcPr>
            <w:tcW w:w="145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eastAsia="仿宋_GB2312"/>
                <w:sz w:val="24"/>
                <w:szCs w:val="24"/>
                <w:vertAlign w:val="baseline"/>
                <w:lang w:val="en-US" w:eastAsia="zh-CN"/>
              </w:rPr>
            </w:pPr>
            <w:r>
              <w:rPr>
                <w:rFonts w:hint="eastAsia"/>
                <w:sz w:val="24"/>
                <w:szCs w:val="24"/>
                <w:vertAlign w:val="baseline"/>
                <w:lang w:val="en-US" w:eastAsia="zh-CN"/>
              </w:rPr>
              <w:t>建筑业企业</w:t>
            </w:r>
          </w:p>
        </w:tc>
        <w:tc>
          <w:tcPr>
            <w:tcW w:w="162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sz w:val="24"/>
                <w:szCs w:val="24"/>
                <w:vertAlign w:val="baseline"/>
              </w:rPr>
            </w:pPr>
            <w:r>
              <w:rPr>
                <w:rFonts w:hint="eastAsia"/>
                <w:sz w:val="24"/>
                <w:szCs w:val="24"/>
                <w:vertAlign w:val="baseline"/>
                <w:lang w:val="en-US" w:eastAsia="zh-CN"/>
              </w:rPr>
              <w:t>未有违反建筑企业资质管理方面</w:t>
            </w:r>
            <w:r>
              <w:rPr>
                <w:rFonts w:hint="eastAsia"/>
                <w:sz w:val="24"/>
                <w:szCs w:val="24"/>
                <w:vertAlign w:val="baseline"/>
              </w:rPr>
              <w:t>法律、法规</w:t>
            </w:r>
            <w:r>
              <w:rPr>
                <w:rFonts w:hint="eastAsia"/>
                <w:sz w:val="24"/>
                <w:szCs w:val="24"/>
                <w:vertAlign w:val="baseline"/>
                <w:lang w:val="en-US" w:eastAsia="zh-CN"/>
              </w:rPr>
              <w:t>的情形</w:t>
            </w:r>
          </w:p>
        </w:tc>
        <w:tc>
          <w:tcPr>
            <w:tcW w:w="125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现场检查</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vertAlign w:val="baseline"/>
              </w:rPr>
            </w:pPr>
            <w:r>
              <w:rPr>
                <w:rFonts w:hint="eastAsia"/>
                <w:sz w:val="24"/>
                <w:szCs w:val="24"/>
                <w:vertAlign w:val="baseline"/>
                <w:lang w:val="en-US" w:eastAsia="zh-CN"/>
              </w:rPr>
              <w:t>书面检查</w:t>
            </w:r>
          </w:p>
        </w:tc>
      </w:tr>
      <w:tr>
        <w:trPr>
          <w:trHeight w:val="2195"/>
        </w:trPr>
        <w:tc>
          <w:tcPr>
            <w:tcW w:w="873" w:type="dxa"/>
            <w:tcBorders>
              <w:top w:val="single" w:sz="4" w:space="0" w:color="auto"/>
              <w:left w:val="single" w:sz="4" w:space="0" w:color="auto"/>
              <w:bottom w:val="single" w:sz="4" w:space="0" w:color="auto"/>
              <w:right w:val="single" w:sz="4" w:space="0" w:color="auto"/>
            </w:tcBorders>
            <w:noWrap/>
            <w:vAlign w:val="center"/>
          </w:tcPr>
          <w:p>
            <w:pPr>
              <w:jc w:val="center"/>
              <w:rPr>
                <w:sz w:val="24"/>
                <w:szCs w:val="24"/>
                <w:vertAlign w:val="baseline"/>
                <w:lang w:val="en-US" w:eastAsia="zh-CN"/>
              </w:rPr>
            </w:pPr>
            <w:r>
              <w:rPr>
                <w:rFonts w:hint="eastAsia"/>
                <w:sz w:val="24"/>
                <w:szCs w:val="24"/>
                <w:vertAlign w:val="baseline"/>
                <w:lang w:val="en-US" w:eastAsia="zh-CN"/>
              </w:rPr>
              <w:t>5</w:t>
            </w:r>
          </w:p>
        </w:tc>
        <w:tc>
          <w:tcPr>
            <w:tcW w:w="172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eastAsia="仿宋_GB2312"/>
                <w:sz w:val="24"/>
                <w:szCs w:val="24"/>
                <w:vertAlign w:val="baseline"/>
                <w:lang w:val="en-US" w:eastAsia="zh-CN"/>
              </w:rPr>
            </w:pPr>
            <w:r>
              <w:rPr>
                <w:rFonts w:hint="eastAsia"/>
                <w:sz w:val="24"/>
                <w:szCs w:val="24"/>
                <w:vertAlign w:val="baseline"/>
                <w:lang w:val="en-US" w:eastAsia="zh-CN"/>
              </w:rPr>
              <w:t>对房地产开发企业经营活动的检查</w:t>
            </w:r>
          </w:p>
        </w:tc>
        <w:tc>
          <w:tcPr>
            <w:tcW w:w="109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vertAlign w:val="baseline"/>
                <w:lang w:eastAsia="zh-CN"/>
              </w:rPr>
            </w:pPr>
            <w:r>
              <w:rPr>
                <w:rFonts w:hint="eastAsia"/>
                <w:sz w:val="24"/>
                <w:szCs w:val="24"/>
                <w:vertAlign w:val="baseline"/>
                <w:lang w:eastAsia="zh-CN"/>
              </w:rPr>
              <w:t>《城市房地产开发经营管理条例》</w:t>
            </w:r>
          </w:p>
        </w:tc>
        <w:tc>
          <w:tcPr>
            <w:tcW w:w="515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vertAlign w:val="baseline"/>
              </w:rPr>
            </w:pPr>
            <w:r>
              <w:rPr>
                <w:rFonts w:hint="eastAsia"/>
                <w:sz w:val="24"/>
                <w:szCs w:val="24"/>
                <w:vertAlign w:val="baseline"/>
              </w:rPr>
              <w:t>第四条　国务院建设行政主管部门负责全国房地产开发经营活动的监督管理工作。</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vertAlign w:val="baseline"/>
                <w:lang w:eastAsia="zh-CN"/>
              </w:rPr>
            </w:pPr>
            <w:r>
              <w:rPr>
                <w:rFonts w:hint="eastAsia"/>
                <w:sz w:val="24"/>
                <w:szCs w:val="24"/>
                <w:vertAlign w:val="baseline"/>
              </w:rPr>
              <w:t>县级以上地方人民政府房地产开发主管部门负责本行政区域内房地产开发经营活动的监督管理工作。</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Times New Roman" w:eastAsia="仿宋_GB2312" w:cs="Arial" w:hAnsi="Times New Roman" w:hint="eastAsia"/>
                <w:kern w:val="2"/>
                <w:sz w:val="24"/>
                <w:szCs w:val="24"/>
                <w:vertAlign w:val="baseline"/>
                <w:lang w:val="en-US" w:eastAsia="zh-CN" w:bidi="ar-SA"/>
              </w:rPr>
            </w:pPr>
            <w:r>
              <w:rPr>
                <w:rFonts w:hint="eastAsia"/>
                <w:sz w:val="24"/>
                <w:szCs w:val="24"/>
                <w:vertAlign w:val="baseline"/>
                <w:lang w:val="en-US" w:eastAsia="zh-CN"/>
              </w:rPr>
              <w:t>宿城区住房和城乡建设局</w:t>
            </w:r>
          </w:p>
        </w:tc>
        <w:tc>
          <w:tcPr>
            <w:tcW w:w="1459"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Times New Roman" w:eastAsia="仿宋_GB2312" w:cs="Arial" w:hAnsi="Times New Roman"/>
                <w:kern w:val="2"/>
                <w:sz w:val="24"/>
                <w:szCs w:val="24"/>
                <w:vertAlign w:val="baseline"/>
                <w:lang w:val="en-US" w:eastAsia="zh-CN" w:bidi="ar-SA"/>
              </w:rPr>
            </w:pPr>
            <w:r>
              <w:rPr>
                <w:rFonts w:cs="Arial" w:hint="eastAsia"/>
                <w:kern w:val="2"/>
                <w:sz w:val="24"/>
                <w:szCs w:val="24"/>
                <w:vertAlign w:val="baseline"/>
                <w:lang w:val="en-US" w:eastAsia="zh-CN" w:bidi="ar-SA"/>
              </w:rPr>
              <w:t>房地产开发经营企业</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eastAsia="仿宋_GB2312" w:cs="Arial" w:hAnsi="Times New Roman" w:hint="eastAsia"/>
                <w:kern w:val="2"/>
                <w:sz w:val="24"/>
                <w:szCs w:val="24"/>
                <w:vertAlign w:val="baseline"/>
                <w:lang w:val="en-US" w:eastAsia="zh-CN" w:bidi="ar-SA"/>
              </w:rPr>
            </w:pPr>
            <w:r>
              <w:rPr>
                <w:rFonts w:hint="eastAsia"/>
                <w:sz w:val="24"/>
                <w:szCs w:val="24"/>
                <w:vertAlign w:val="baseline"/>
                <w:lang w:val="en-US" w:eastAsia="zh-CN"/>
              </w:rPr>
              <w:t>未有违反房地产开发经营管理方面</w:t>
            </w:r>
            <w:r>
              <w:rPr>
                <w:rFonts w:hint="eastAsia"/>
                <w:sz w:val="24"/>
                <w:szCs w:val="24"/>
                <w:vertAlign w:val="baseline"/>
              </w:rPr>
              <w:t>法律、法规</w:t>
            </w:r>
            <w:r>
              <w:rPr>
                <w:rFonts w:hint="eastAsia"/>
                <w:sz w:val="24"/>
                <w:szCs w:val="24"/>
                <w:vertAlign w:val="baseline"/>
                <w:lang w:val="en-US" w:eastAsia="zh-CN"/>
              </w:rPr>
              <w:t>的情形</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现场检查</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Times New Roman" w:eastAsia="仿宋_GB2312" w:cs="Arial" w:hAnsi="Times New Roman" w:hint="eastAsia"/>
                <w:kern w:val="2"/>
                <w:sz w:val="24"/>
                <w:szCs w:val="24"/>
                <w:vertAlign w:val="baseline"/>
                <w:lang w:val="en-US" w:eastAsia="zh-CN" w:bidi="ar-SA"/>
              </w:rPr>
            </w:pPr>
            <w:r>
              <w:rPr>
                <w:rFonts w:hint="eastAsia"/>
                <w:sz w:val="24"/>
                <w:szCs w:val="24"/>
                <w:vertAlign w:val="baseline"/>
                <w:lang w:val="en-US" w:eastAsia="zh-CN"/>
              </w:rPr>
              <w:t>书面检查</w:t>
            </w:r>
          </w:p>
        </w:tc>
      </w:tr>
      <w:tr>
        <w:trPr>
          <w:trHeight w:val="463"/>
        </w:trPr>
        <w:tc>
          <w:tcPr>
            <w:tcW w:w="873" w:type="dxa"/>
            <w:tcBorders>
              <w:top w:val="single" w:sz="4" w:space="0" w:color="auto"/>
              <w:left w:val="single" w:sz="4" w:space="0" w:color="auto"/>
              <w:bottom w:val="single" w:sz="4" w:space="0" w:color="auto"/>
              <w:right w:val="single" w:sz="4" w:space="0" w:color="auto"/>
            </w:tcBorders>
            <w:noWrap/>
            <w:vAlign w:val="center"/>
          </w:tcPr>
          <w:p>
            <w:pPr>
              <w:jc w:val="center"/>
              <w:rPr>
                <w:sz w:val="24"/>
                <w:szCs w:val="24"/>
                <w:vertAlign w:val="baseline"/>
                <w:lang w:val="en-US" w:eastAsia="zh-CN"/>
              </w:rPr>
            </w:pPr>
            <w:r>
              <w:rPr>
                <w:rFonts w:hint="eastAsia"/>
                <w:sz w:val="24"/>
                <w:szCs w:val="24"/>
                <w:vertAlign w:val="baseline"/>
                <w:lang w:val="en-US" w:eastAsia="zh-CN"/>
              </w:rPr>
              <w:t>6</w:t>
            </w:r>
          </w:p>
        </w:tc>
        <w:tc>
          <w:tcPr>
            <w:tcW w:w="172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eastAsia="仿宋_GB2312"/>
                <w:sz w:val="24"/>
                <w:szCs w:val="24"/>
                <w:vertAlign w:val="baseline"/>
                <w:lang w:val="en-US" w:eastAsia="zh-CN"/>
              </w:rPr>
            </w:pPr>
            <w:r>
              <w:rPr>
                <w:rFonts w:hint="eastAsia"/>
                <w:sz w:val="24"/>
                <w:szCs w:val="24"/>
                <w:vertAlign w:val="baseline"/>
                <w:lang w:val="en-US" w:eastAsia="zh-CN"/>
              </w:rPr>
              <w:t>对建设项目参建主体的扬尘污染情况的检查</w:t>
            </w:r>
          </w:p>
        </w:tc>
        <w:tc>
          <w:tcPr>
            <w:tcW w:w="109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sz w:val="24"/>
                <w:szCs w:val="24"/>
                <w:vertAlign w:val="baseline"/>
                <w:lang w:eastAsia="zh-CN"/>
              </w:rPr>
            </w:pPr>
            <w:r>
              <w:rPr>
                <w:rFonts w:hint="eastAsia"/>
                <w:sz w:val="24"/>
                <w:szCs w:val="24"/>
                <w:vertAlign w:val="baseline"/>
                <w:lang w:eastAsia="zh-CN"/>
              </w:rPr>
              <w:t>《宿迁市扬尘污染防治条例》</w:t>
            </w:r>
          </w:p>
        </w:tc>
        <w:tc>
          <w:tcPr>
            <w:tcW w:w="515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vertAlign w:val="baseline"/>
              </w:rPr>
            </w:pPr>
            <w:r>
              <w:rPr>
                <w:rFonts w:hint="eastAsia"/>
                <w:sz w:val="24"/>
                <w:szCs w:val="24"/>
                <w:vertAlign w:val="baseline"/>
              </w:rPr>
              <w:t>第二十一条  生态环境主管部门对本行政区域内的扬尘污染防治实施统一监督管理，负责工业企业物料堆放场所扬尘污染、预拌混凝土及砂浆等企业的扬尘污染防治监督管理工作。</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vertAlign w:val="baseline"/>
              </w:rPr>
            </w:pPr>
            <w:r>
              <w:rPr>
                <w:rFonts w:hint="eastAsia"/>
                <w:sz w:val="24"/>
                <w:szCs w:val="24"/>
                <w:vertAlign w:val="baseline"/>
              </w:rPr>
              <w:t>住房和城乡建设主管部门负责房屋及其附属设施建筑（含装饰装修）工程、市政工程、园林绿化工程、国有土地上房屋征收拆除工程等施工中的扬尘污染防治监督管理工作。</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vertAlign w:val="baseline"/>
              </w:rPr>
            </w:pPr>
            <w:r>
              <w:rPr>
                <w:rFonts w:hint="eastAsia"/>
                <w:sz w:val="24"/>
                <w:szCs w:val="24"/>
                <w:vertAlign w:val="baseline"/>
              </w:rPr>
              <w:t xml:space="preserve">第二十四条  负有扬尘污染防治监督管理职责的部门应当建立巡查机制，依法对扬尘污染防治工作进行监督管理和现场检查。 </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vertAlign w:val="baseline"/>
              </w:rPr>
            </w:pPr>
            <w:r>
              <w:rPr>
                <w:rFonts w:hint="eastAsia"/>
                <w:sz w:val="24"/>
                <w:szCs w:val="24"/>
                <w:vertAlign w:val="baseline"/>
              </w:rPr>
              <w:t>生态环境主管部门根据扬尘防治工作的需要，可以会同相关管理部门实施联合执法检查。</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vertAlign w:val="baseline"/>
              </w:rPr>
            </w:pPr>
            <w:r>
              <w:rPr>
                <w:rFonts w:hint="eastAsia"/>
                <w:sz w:val="24"/>
                <w:szCs w:val="24"/>
                <w:vertAlign w:val="baseline"/>
              </w:rPr>
              <w:t>被检查的单位或者个人应当配合监督检查，不得弄虚作假。</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Times New Roman" w:eastAsia="仿宋_GB2312" w:cs="Arial" w:hAnsi="Times New Roman" w:hint="eastAsia"/>
                <w:kern w:val="2"/>
                <w:sz w:val="24"/>
                <w:szCs w:val="24"/>
                <w:vertAlign w:val="baseline"/>
                <w:lang w:val="en-US" w:eastAsia="zh-CN" w:bidi="ar-SA"/>
              </w:rPr>
            </w:pPr>
            <w:r>
              <w:rPr>
                <w:rFonts w:hint="eastAsia"/>
                <w:sz w:val="24"/>
                <w:szCs w:val="24"/>
                <w:vertAlign w:val="baseline"/>
                <w:lang w:val="en-US" w:eastAsia="zh-CN"/>
              </w:rPr>
              <w:t>宿城区住房和城乡建设局</w:t>
            </w:r>
          </w:p>
        </w:tc>
        <w:tc>
          <w:tcPr>
            <w:tcW w:w="1459"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Times New Roman" w:eastAsia="仿宋_GB2312" w:cs="Arial" w:hAnsi="Times New Roman" w:hint="eastAsia"/>
                <w:kern w:val="2"/>
                <w:sz w:val="24"/>
                <w:szCs w:val="24"/>
                <w:vertAlign w:val="baseline"/>
                <w:lang w:val="en-US" w:eastAsia="zh-CN" w:bidi="ar-SA"/>
              </w:rPr>
            </w:pPr>
            <w:r>
              <w:rPr>
                <w:rFonts w:hint="eastAsia"/>
                <w:sz w:val="24"/>
                <w:szCs w:val="24"/>
                <w:vertAlign w:val="baseline"/>
                <w:lang w:val="en-US" w:eastAsia="zh-CN"/>
              </w:rPr>
              <w:t>建设项目参建主体</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eastAsia="仿宋_GB2312" w:cs="Arial" w:hAnsi="Times New Roman" w:hint="eastAsia"/>
                <w:kern w:val="2"/>
                <w:sz w:val="24"/>
                <w:szCs w:val="24"/>
                <w:vertAlign w:val="baseline"/>
                <w:lang w:val="en-US" w:eastAsia="zh-CN" w:bidi="ar-SA"/>
              </w:rPr>
            </w:pPr>
            <w:r>
              <w:rPr>
                <w:rFonts w:hint="eastAsia"/>
                <w:sz w:val="24"/>
                <w:szCs w:val="24"/>
                <w:vertAlign w:val="baseline"/>
                <w:lang w:val="en-US" w:eastAsia="zh-CN"/>
              </w:rPr>
              <w:t>未有违反扬尘污染防治管理方面</w:t>
            </w:r>
            <w:r>
              <w:rPr>
                <w:rFonts w:hint="eastAsia"/>
                <w:sz w:val="24"/>
                <w:szCs w:val="24"/>
                <w:vertAlign w:val="baseline"/>
              </w:rPr>
              <w:t>法律、法规</w:t>
            </w:r>
            <w:r>
              <w:rPr>
                <w:rFonts w:hint="eastAsia"/>
                <w:sz w:val="24"/>
                <w:szCs w:val="24"/>
                <w:vertAlign w:val="baseline"/>
                <w:lang w:val="en-US" w:eastAsia="zh-CN"/>
              </w:rPr>
              <w:t>的情形</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现场检查</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Times New Roman" w:eastAsia="仿宋_GB2312" w:cs="Arial" w:hAnsi="Times New Roman" w:hint="eastAsia"/>
                <w:kern w:val="2"/>
                <w:sz w:val="24"/>
                <w:szCs w:val="24"/>
                <w:vertAlign w:val="baseline"/>
                <w:lang w:val="en-US" w:eastAsia="zh-CN" w:bidi="ar-SA"/>
              </w:rPr>
            </w:pPr>
            <w:r>
              <w:rPr>
                <w:rFonts w:hint="eastAsia"/>
                <w:sz w:val="24"/>
                <w:szCs w:val="24"/>
                <w:vertAlign w:val="baseline"/>
                <w:lang w:val="en-US" w:eastAsia="zh-CN"/>
              </w:rPr>
              <w:t>书面检查</w:t>
            </w:r>
          </w:p>
        </w:tc>
      </w:tr>
      <w:tr>
        <w:trPr>
          <w:trHeight w:val="463"/>
        </w:trPr>
        <w:tc>
          <w:tcPr>
            <w:tcW w:w="873" w:type="dxa"/>
            <w:tcBorders>
              <w:top w:val="single" w:sz="4" w:space="0" w:color="auto"/>
              <w:left w:val="single" w:sz="4" w:space="0" w:color="auto"/>
              <w:bottom w:val="single" w:sz="4" w:space="0" w:color="auto"/>
              <w:right w:val="single" w:sz="4" w:space="0" w:color="auto"/>
            </w:tcBorders>
            <w:noWrap/>
            <w:vAlign w:val="center"/>
          </w:tcPr>
          <w:p>
            <w:pPr>
              <w:jc w:val="center"/>
              <w:rPr>
                <w:sz w:val="24"/>
                <w:szCs w:val="24"/>
                <w:vertAlign w:val="baseline"/>
                <w:lang w:val="en-US" w:eastAsia="zh-CN"/>
              </w:rPr>
            </w:pPr>
            <w:r>
              <w:rPr>
                <w:rFonts w:hint="eastAsia"/>
                <w:sz w:val="24"/>
                <w:szCs w:val="24"/>
                <w:vertAlign w:val="baseline"/>
                <w:lang w:val="en-US" w:eastAsia="zh-CN"/>
              </w:rPr>
              <w:t>7</w:t>
            </w:r>
          </w:p>
        </w:tc>
        <w:tc>
          <w:tcPr>
            <w:tcW w:w="172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sz w:val="24"/>
                <w:szCs w:val="24"/>
                <w:vertAlign w:val="baseline"/>
                <w:lang w:val="en-US"/>
              </w:rPr>
            </w:pPr>
            <w:r>
              <w:rPr>
                <w:rFonts w:hint="eastAsia"/>
                <w:sz w:val="24"/>
                <w:szCs w:val="24"/>
                <w:vertAlign w:val="baseline"/>
                <w:lang w:val="en-US" w:eastAsia="zh-CN"/>
              </w:rPr>
              <w:t>对燃气经营企业经营状况的检查</w:t>
            </w:r>
          </w:p>
        </w:tc>
        <w:tc>
          <w:tcPr>
            <w:tcW w:w="109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sz w:val="24"/>
                <w:szCs w:val="24"/>
                <w:vertAlign w:val="baseline"/>
                <w:lang w:eastAsia="zh-CN"/>
              </w:rPr>
            </w:pPr>
            <w:r>
              <w:rPr>
                <w:rFonts w:hint="eastAsia"/>
                <w:sz w:val="24"/>
                <w:szCs w:val="24"/>
                <w:vertAlign w:val="baseline"/>
                <w:lang w:eastAsia="zh-CN"/>
              </w:rPr>
              <w:t>《城镇燃气管理条例》</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sz w:val="24"/>
                <w:szCs w:val="24"/>
                <w:vertAlign w:val="baseline"/>
                <w:lang w:eastAsia="zh-CN"/>
              </w:rPr>
            </w:pPr>
          </w:p>
        </w:tc>
        <w:tc>
          <w:tcPr>
            <w:tcW w:w="515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vertAlign w:val="baseline"/>
              </w:rPr>
            </w:pPr>
            <w:r>
              <w:rPr>
                <w:rFonts w:hint="eastAsia"/>
                <w:sz w:val="24"/>
                <w:szCs w:val="24"/>
                <w:vertAlign w:val="baseline"/>
              </w:rPr>
              <w:t>第五条　国务院建设主管部门负责全国的燃气管理工作。</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vertAlign w:val="baseline"/>
              </w:rPr>
            </w:pPr>
            <w:r>
              <w:rPr>
                <w:rFonts w:hint="eastAsia"/>
                <w:sz w:val="24"/>
                <w:szCs w:val="24"/>
                <w:vertAlign w:val="baseline"/>
              </w:rPr>
              <w:t>县级以上地方人民政府燃气管理部门负责本行政区域内的燃气管理工作。</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vertAlign w:val="baseline"/>
              </w:rPr>
            </w:pPr>
            <w:r>
              <w:rPr>
                <w:rFonts w:hint="eastAsia"/>
                <w:sz w:val="24"/>
                <w:szCs w:val="24"/>
                <w:vertAlign w:val="baseline"/>
              </w:rPr>
              <w:t>第四十一条　燃气经营者应当建立健全燃气安全评估和风险管理体系，发现燃气安全事故隐患的，应当及时采取措施消除隐患。</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24"/>
                <w:szCs w:val="24"/>
                <w:vertAlign w:val="baseline"/>
              </w:rPr>
            </w:pPr>
            <w:r>
              <w:rPr>
                <w:rFonts w:hint="eastAsia"/>
                <w:sz w:val="24"/>
                <w:szCs w:val="24"/>
                <w:vertAlign w:val="baseline"/>
              </w:rPr>
              <w:t>燃气管理部门以及其他有关部门和单位应当根据各自职责，对燃气经营、燃气使用的安全状况等进行监督检查，发现燃气安全事故隐患的，应当通知燃气经营者、燃气用户及时采取措施消除隐患；不及时消除隐患可能严重威胁公共安全的，燃气管理部门以及其他有关部门和单位应当依法采取措施，及时组织消除隐患，有关单位和个人应当予以配合。</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Times New Roman" w:eastAsia="仿宋_GB2312" w:cs="Arial" w:hAnsi="Times New Roman" w:hint="eastAsia"/>
                <w:kern w:val="2"/>
                <w:sz w:val="24"/>
                <w:szCs w:val="24"/>
                <w:vertAlign w:val="baseline"/>
                <w:lang w:val="en-US" w:eastAsia="zh-CN" w:bidi="ar-SA"/>
              </w:rPr>
            </w:pPr>
            <w:r>
              <w:rPr>
                <w:rFonts w:hint="eastAsia"/>
                <w:sz w:val="24"/>
                <w:szCs w:val="24"/>
                <w:vertAlign w:val="baseline"/>
                <w:lang w:val="en-US" w:eastAsia="zh-CN"/>
              </w:rPr>
              <w:t>宿城区住房和城乡建设局</w:t>
            </w:r>
          </w:p>
        </w:tc>
        <w:tc>
          <w:tcPr>
            <w:tcW w:w="1459"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Times New Roman" w:eastAsia="仿宋_GB2312" w:cs="Arial" w:hAnsi="Times New Roman"/>
                <w:kern w:val="2"/>
                <w:sz w:val="24"/>
                <w:szCs w:val="24"/>
                <w:vertAlign w:val="baseline"/>
                <w:lang w:val="en-US" w:eastAsia="zh-CN" w:bidi="ar-SA"/>
              </w:rPr>
            </w:pPr>
            <w:r>
              <w:rPr>
                <w:rFonts w:ascii="Times New Roman" w:cs="Arial" w:hAnsi="Times New Roman" w:hint="eastAsia"/>
                <w:kern w:val="2"/>
                <w:sz w:val="24"/>
                <w:szCs w:val="24"/>
                <w:vertAlign w:val="baseline"/>
                <w:lang w:val="en-US" w:eastAsia="zh-CN" w:bidi="ar-SA"/>
              </w:rPr>
              <w:t>燃气经营企业</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eastAsia="仿宋_GB2312" w:cs="Arial" w:hAnsi="Times New Roman" w:hint="eastAsia"/>
                <w:kern w:val="2"/>
                <w:sz w:val="24"/>
                <w:szCs w:val="24"/>
                <w:vertAlign w:val="baseline"/>
                <w:lang w:val="en-US" w:eastAsia="zh-CN" w:bidi="ar-SA"/>
              </w:rPr>
            </w:pPr>
            <w:r>
              <w:rPr>
                <w:rFonts w:hint="eastAsia"/>
                <w:sz w:val="24"/>
                <w:szCs w:val="24"/>
                <w:vertAlign w:val="baseline"/>
                <w:lang w:val="en-US" w:eastAsia="zh-CN"/>
              </w:rPr>
              <w:t>未有违反燃气经管理方面</w:t>
            </w:r>
            <w:r>
              <w:rPr>
                <w:rFonts w:hint="eastAsia"/>
                <w:sz w:val="24"/>
                <w:szCs w:val="24"/>
                <w:vertAlign w:val="baseline"/>
              </w:rPr>
              <w:t>法律、法规</w:t>
            </w:r>
            <w:r>
              <w:rPr>
                <w:rFonts w:hint="eastAsia"/>
                <w:sz w:val="24"/>
                <w:szCs w:val="24"/>
                <w:vertAlign w:val="baseline"/>
                <w:lang w:eastAsia="zh-CN"/>
              </w:rPr>
              <w:t>、</w:t>
            </w:r>
            <w:r>
              <w:rPr>
                <w:rFonts w:hint="eastAsia"/>
                <w:sz w:val="24"/>
                <w:szCs w:val="24"/>
                <w:vertAlign w:val="baseline"/>
                <w:lang w:val="en-US" w:eastAsia="zh-CN"/>
              </w:rPr>
              <w:t>规章的情形</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现场检查</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Times New Roman" w:eastAsia="仿宋_GB2312" w:cs="Arial" w:hAnsi="Times New Roman" w:hint="eastAsia"/>
                <w:kern w:val="2"/>
                <w:sz w:val="24"/>
                <w:szCs w:val="24"/>
                <w:vertAlign w:val="baseline"/>
                <w:lang w:val="en-US" w:eastAsia="zh-CN" w:bidi="ar-SA"/>
              </w:rPr>
            </w:pPr>
            <w:r>
              <w:rPr>
                <w:rFonts w:hint="eastAsia"/>
                <w:sz w:val="24"/>
                <w:szCs w:val="24"/>
                <w:vertAlign w:val="baseline"/>
                <w:lang w:val="en-US" w:eastAsia="zh-CN"/>
              </w:rPr>
              <w:t>书面检查</w:t>
            </w:r>
          </w:p>
        </w:tc>
      </w:tr>
    </w:tbl>
    <w:p/>
    <w:sectPr>
      <w:pgSz w:w="16838" w:h="11906" w:orient="landscape"/>
      <w:pgMar w:top="1134" w:right="1134" w:bottom="1134" w:left="1134" w:header="851" w:footer="992" w:gutter="0"/>
      <w:rtlGutter/>
      <w:docGrid w:type="lines" w:linePitch="438"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auto"/>
    <w:pitch w:val="variable"/>
    <w:sig w:usb0="00000001" w:usb1="080E0000" w:usb2="00000000" w:usb3="00000000" w:csb0="00040000" w:csb1="00000000"/>
  </w:font>
  <w:font w:name="方正黑体_GBK">
    <w:panose1 w:val="03000509000000000000"/>
    <w:charset w:val="86"/>
    <w:family w:val="auto"/>
    <w:pitch w:val="variable"/>
    <w:sig w:usb0="00000001" w:usb1="080E0000" w:usb2="00000000" w:usb3="00000000" w:csb0="00040000" w:csb1="00000000"/>
  </w:font>
  <w:font w:name="仿宋_GB2312">
    <w:panose1 w:val="02010609030101010101"/>
    <w:charset w:val="86"/>
    <w:family w:val="auto"/>
    <w:pitch w:val="variable"/>
    <w:sig w:usb0="00000001" w:usb1="080E0000" w:usb2="00000000" w:usb3="00000000" w:csb0="00040000" w:csb1="00000000"/>
  </w:font>
  <w:font w:name="Times New Roman">
    <w:panose1 w:val="02020603050405020304"/>
    <w:charset w:val="CC"/>
    <w:family w:val="roman"/>
    <w:pitch w:val="variable"/>
    <w:sig w:usb0="E0002EFF" w:usb1="C000785B" w:usb2="00000009" w:usb3="00000000" w:csb0="400001FF" w:csb1="FFFF0000"/>
  </w:font>
  <w:font w:name="Arial">
    <w:altName w:val="DejaVu Sans"/>
    <w:panose1 w:val="020B0604020202020204"/>
    <w:charset w:val="01"/>
    <w:family w:val="swiss"/>
    <w:pitch w:val="variable"/>
    <w:sig w:usb0="E0002EFF" w:usb1="C000785B" w:usb2="00000009" w:usb3="00000000" w:csb0="400001FF" w:csb1="FFFF0000"/>
  </w:font>
  <w:font w:name="宋体">
    <w:panose1 w:val="02010600030101010101"/>
    <w:charset w:val="86"/>
    <w:family w:val="auto"/>
    <w:pitch w:val="variable"/>
    <w:sig w:usb0="00000003" w:usb1="288F0000" w:usb2="00000006" w:usb3="00000000" w:csb0="00040001" w:csb1="00000000"/>
  </w:font>
  <w:font w:name="Luxi Sans">
    <w:altName w:val="DejaVu Sans"/>
    <w:panose1 w:val="00000000000000000000"/>
    <w:charset w:val="00"/>
    <w:family w:val="auto"/>
    <w:pitch w:val="variable"/>
    <w:sig w:usb0="00000000" w:usb1="00000000" w:usb2="00000000" w:usb3="00000000" w:csb0="00000000" w:csb1="00000000"/>
  </w:font>
  <w:font w:name="黑体">
    <w:panose1 w:val="02010609060101010101"/>
    <w:charset w:val="86"/>
    <w:family w:val="auto"/>
    <w:pitch w:val="variable"/>
    <w:sig w:usb0="800002BF" w:usb1="38CF7CFA" w:usb2="00000016" w:usb3="00000000" w:csb0="00040001" w:csb1="00000000"/>
  </w:font>
  <w:font w:name="Courier New">
    <w:altName w:val="DejaVu Sans"/>
    <w:panose1 w:val="02070309020205020404"/>
    <w:charset w:val="01"/>
    <w:family w:val="modern"/>
    <w:pitch w:val="variable"/>
    <w:sig w:usb0="E0002EFF" w:usb1="C0007843" w:usb2="00000009" w:usb3="00000000" w:csb0="400001FF" w:csb1="FFFF0000"/>
  </w:font>
  <w:font w:name="Verdana">
    <w:altName w:val="DejaVu Sans"/>
    <w:panose1 w:val="020B0604030504040204"/>
    <w:charset w:val="00"/>
    <w:family w:val="swiss"/>
    <w:pitch w:val="variable"/>
    <w:sig w:usb0="A00006FF" w:usb1="4000205B" w:usb2="00000010" w:usb3="00000000" w:csb0="2000019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val="0"/>
  <w:bordersDoNotSurroundFooter w:val="0"/>
  <w:documentProtection w:edit="readOnly" w:enforcement="0"/>
  <w:defaultTabStop w:val="420"/>
  <w:drawingGridHorizontalSpacing w:val="160"/>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仿宋_GB2312" w:cs="Arial" w:hAnsi="Times New Roman"/>
      <w:kern w:val="2"/>
      <w:sz w:val="32"/>
      <w:szCs w:val="32"/>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spacing w:before="0" w:beforeAutospacing="1" w:after="0" w:afterAutospacing="1"/>
      <w:jc w:val="left"/>
      <w:outlineLvl w:val="2"/>
    </w:pPr>
    <w:rPr>
      <w:rFonts w:ascii="宋体" w:eastAsia="宋体" w:cs="宋体"/>
      <w:b/>
      <w:bCs/>
      <w:kern w:val="0"/>
      <w:sz w:val="27"/>
      <w:szCs w:val="27"/>
      <w:lang w:val="en-US" w:eastAsia="zh-CN"/>
    </w:rPr>
  </w:style>
  <w:style w:type="character" w:default="1" w:styleId="10">
    <w:name w:val="Default Paragraph Font"/>
  </w:style>
  <w:style w:type="paragraph" w:styleId="15">
    <w:name w:val="Plain Text"/>
    <w:basedOn w:val="0"/>
    <w:rPr>
      <w:rFonts w:ascii="宋体" w:eastAsia="宋体" w:cs="Courier New"/>
      <w:szCs w:val="21"/>
    </w:rPr>
  </w:style>
  <w:style w:type="character" w:styleId="16">
    <w:name w:val="Strong"/>
    <w:basedOn w:val="10"/>
    <w:rPr>
      <w:b/>
    </w:rPr>
  </w:style>
  <w:style w:type="paragraph" w:customStyle="1" w:styleId="17">
    <w:name w:val=" Char Char1 Char Char"/>
    <w:basedOn w:val="0"/>
    <w:pPr>
      <w:widowControl/>
      <w:spacing w:after="160" w:line="240" w:lineRule="exact"/>
      <w:jc w:val="left"/>
    </w:pPr>
    <w:rPr>
      <w:rFonts w:ascii="Arial" w:eastAsia="Times New Roman" w:cs="Verdana" w:hAnsi="Arial"/>
      <w:b/>
      <w:kern w:val="0"/>
      <w:sz w:val="24"/>
      <w:szCs w:val="32"/>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31</TotalTime>
  <Application>Yozo_Office27021597764231179</Application>
  <Pages>4</Pages>
  <Words>2258</Words>
  <Characters>2258</Characters>
  <Lines>241</Lines>
  <Paragraphs>94</Paragraphs>
  <CharactersWithSpaces>2281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kylin</cp:lastModifiedBy>
  <cp:revision>0</cp:revision>
  <dcterms:created xsi:type="dcterms:W3CDTF">2023-08-04T01:30:00Z</dcterms:created>
  <dcterms:modified xsi:type="dcterms:W3CDTF">2025-09-16T01:19:28Z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2052-12.1.0.22529</vt:lpwstr>
  </property>
  <property fmtid="{D5CDD505-2E9C-101B-9397-08002B2CF9AE}" pid="3" name="ICV">
    <vt:lpwstr>15167DCC5C6848028D2D6A221ACAD52B_12</vt:lpwstr>
  </property>
  <property fmtid="{D5CDD505-2E9C-101B-9397-08002B2CF9AE}" pid="4" name="KSOTemplateDocerSaveRecord">
    <vt:lpwstr>eyJoZGlkIjoiNWQxZDU3MjE0YTZlZTQxZGM0OGIwMTI0OTUxOWY5ODciLCJ1c2VySWQiOiIyNTcxMjgxOTkifQ==</vt:lpwstr>
  </property>
</Properties>
</file>